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02F37ED">
      <w:pPr>
        <w:spacing w:line="600" w:lineRule="exact"/>
        <w:ind w:left="-1260" w:leftChars="-600" w:right="-1375" w:rightChars="-655"/>
        <w:jc w:val="center"/>
        <w:rPr>
          <w:b/>
          <w:color w:val="auto"/>
          <w:sz w:val="44"/>
          <w:szCs w:val="44"/>
          <w:highlight w:val="none"/>
          <w:lang w:bidi="ar"/>
        </w:rPr>
      </w:pPr>
      <w:r>
        <w:rPr>
          <w:rFonts w:hint="eastAsia"/>
          <w:b/>
          <w:color w:val="auto"/>
          <w:sz w:val="44"/>
          <w:szCs w:val="44"/>
          <w:highlight w:val="none"/>
          <w:lang w:bidi="ar"/>
        </w:rPr>
        <w:t>全国棉花交易市场</w:t>
      </w:r>
    </w:p>
    <w:p w14:paraId="7E8135DE">
      <w:pPr>
        <w:spacing w:line="600" w:lineRule="exact"/>
        <w:ind w:left="-1260" w:leftChars="-600" w:right="-1375" w:rightChars="-655"/>
        <w:jc w:val="center"/>
        <w:rPr>
          <w:b/>
          <w:color w:val="auto"/>
          <w:sz w:val="44"/>
          <w:szCs w:val="44"/>
          <w:highlight w:val="none"/>
          <w:lang w:bidi="ar"/>
        </w:rPr>
      </w:pPr>
      <w:r>
        <w:rPr>
          <w:rFonts w:hint="eastAsia"/>
          <w:b/>
          <w:color w:val="auto"/>
          <w:sz w:val="44"/>
          <w:szCs w:val="44"/>
          <w:highlight w:val="none"/>
          <w:lang w:bidi="ar"/>
        </w:rPr>
        <w:t>商品棉购销合同</w:t>
      </w:r>
    </w:p>
    <w:p w14:paraId="67FCC060">
      <w:pPr>
        <w:spacing w:line="600" w:lineRule="exact"/>
        <w:ind w:left="-1260" w:leftChars="-600" w:right="-1375" w:rightChars="-655"/>
        <w:jc w:val="center"/>
        <w:rPr>
          <w:b/>
          <w:color w:val="auto"/>
          <w:sz w:val="32"/>
          <w:szCs w:val="32"/>
          <w:highlight w:val="none"/>
          <w:lang w:bidi="ar"/>
        </w:rPr>
      </w:pPr>
      <w:r>
        <w:rPr>
          <w:rFonts w:hint="eastAsia"/>
          <w:b/>
          <w:color w:val="auto"/>
          <w:sz w:val="32"/>
          <w:szCs w:val="32"/>
          <w:highlight w:val="none"/>
          <w:lang w:bidi="ar"/>
        </w:rPr>
        <w:t>（基差交易、竞卖交易</w:t>
      </w:r>
      <w:r>
        <w:rPr>
          <w:rFonts w:hint="eastAsia"/>
          <w:b/>
          <w:color w:val="auto"/>
          <w:sz w:val="32"/>
          <w:szCs w:val="32"/>
          <w:highlight w:val="none"/>
          <w:lang w:val="en-US" w:eastAsia="zh-CN" w:bidi="ar"/>
        </w:rPr>
        <w:t>-市场仓单</w:t>
      </w:r>
      <w:r>
        <w:rPr>
          <w:rFonts w:hint="eastAsia"/>
          <w:b/>
          <w:color w:val="auto"/>
          <w:sz w:val="32"/>
          <w:szCs w:val="32"/>
          <w:highlight w:val="none"/>
          <w:lang w:bidi="ar"/>
        </w:rPr>
        <w:t>版本）</w:t>
      </w:r>
    </w:p>
    <w:p w14:paraId="3DFC7D62">
      <w:pPr>
        <w:spacing w:line="340" w:lineRule="exact"/>
        <w:ind w:left="-1260" w:leftChars="-600" w:right="-1375" w:rightChars="-655"/>
        <w:rPr>
          <w:rFonts w:hint="eastAsia" w:ascii="宋体" w:hAnsi="宋体" w:cs="宋体"/>
          <w:color w:val="auto"/>
          <w:szCs w:val="21"/>
          <w:highlight w:val="none"/>
          <w:lang w:bidi="ar"/>
        </w:rPr>
      </w:pPr>
    </w:p>
    <w:p w14:paraId="1A62FCA2">
      <w:pPr>
        <w:spacing w:line="340" w:lineRule="exact"/>
        <w:ind w:left="-1260" w:leftChars="-600" w:right="-1375" w:rightChars="-655"/>
        <w:rPr>
          <w:rFonts w:hint="eastAsia" w:ascii="宋体" w:hAnsi="宋体" w:cs="宋体"/>
          <w:color w:val="auto"/>
          <w:szCs w:val="21"/>
          <w:highlight w:val="none"/>
        </w:rPr>
      </w:pPr>
      <w:r>
        <w:rPr>
          <w:rFonts w:hint="eastAsia" w:ascii="宋体" w:hAnsi="宋体" w:cs="宋体"/>
          <w:color w:val="auto"/>
          <w:szCs w:val="21"/>
          <w:highlight w:val="none"/>
          <w:lang w:bidi="ar"/>
        </w:rPr>
        <w:t>签订地点：                              签订时间：                 合同编号（交易市场填写）：</w:t>
      </w:r>
    </w:p>
    <w:p w14:paraId="62829922">
      <w:pPr>
        <w:spacing w:line="340" w:lineRule="exact"/>
        <w:ind w:left="-1260" w:leftChars="-600" w:right="-1375" w:rightChars="-655"/>
        <w:rPr>
          <w:rFonts w:hint="eastAsia" w:ascii="宋体" w:hAnsi="宋体" w:cs="宋体"/>
          <w:color w:val="auto"/>
          <w:szCs w:val="21"/>
          <w:highlight w:val="none"/>
        </w:rPr>
      </w:pPr>
    </w:p>
    <w:p w14:paraId="473995BA">
      <w:pPr>
        <w:spacing w:line="340" w:lineRule="exact"/>
        <w:ind w:left="-1260" w:leftChars="-600" w:right="-1375" w:rightChars="-655"/>
        <w:rPr>
          <w:rFonts w:hint="eastAsia" w:ascii="宋体" w:hAnsi="宋体" w:cs="宋体"/>
          <w:color w:val="auto"/>
          <w:szCs w:val="21"/>
          <w:highlight w:val="none"/>
        </w:rPr>
      </w:pPr>
      <w:r>
        <w:rPr>
          <w:rFonts w:hint="eastAsia" w:ascii="宋体" w:hAnsi="宋体" w:cs="宋体"/>
          <w:color w:val="auto"/>
          <w:szCs w:val="21"/>
          <w:highlight w:val="none"/>
          <w:lang w:bidi="ar"/>
        </w:rPr>
        <w:t>卖方名称</w:t>
      </w:r>
      <w:r>
        <w:rPr>
          <w:rFonts w:hint="eastAsia" w:ascii="宋体" w:hAnsi="宋体" w:cs="宋体"/>
          <w:color w:val="auto"/>
          <w:szCs w:val="21"/>
          <w:highlight w:val="none"/>
          <w:lang w:bidi="ar"/>
        </w:rPr>
        <w:t>（盖章）</w:t>
      </w:r>
      <w:r>
        <w:rPr>
          <w:rFonts w:hint="eastAsia" w:ascii="宋体" w:hAnsi="宋体" w:cs="宋体"/>
          <w:color w:val="auto"/>
          <w:szCs w:val="21"/>
          <w:highlight w:val="none"/>
          <w:lang w:bidi="ar"/>
        </w:rPr>
        <w:t xml:space="preserve">：                                            </w:t>
      </w:r>
    </w:p>
    <w:p w14:paraId="0731DB63">
      <w:pPr>
        <w:spacing w:line="340" w:lineRule="exact"/>
        <w:ind w:left="-1260" w:leftChars="-600" w:right="-1375" w:rightChars="-655"/>
        <w:rPr>
          <w:rFonts w:hint="eastAsia" w:ascii="宋体" w:hAnsi="宋体" w:cs="宋体"/>
          <w:color w:val="auto"/>
          <w:szCs w:val="21"/>
          <w:highlight w:val="none"/>
        </w:rPr>
      </w:pPr>
      <w:r>
        <w:rPr>
          <w:rFonts w:hint="eastAsia" w:ascii="宋体" w:hAnsi="宋体" w:cs="宋体"/>
          <w:color w:val="auto"/>
          <w:szCs w:val="21"/>
          <w:highlight w:val="none"/>
          <w:lang w:bidi="ar"/>
        </w:rPr>
        <w:t xml:space="preserve">地址：                                                   </w:t>
      </w:r>
    </w:p>
    <w:p w14:paraId="1EBA1E23">
      <w:pPr>
        <w:spacing w:line="340" w:lineRule="exact"/>
        <w:ind w:left="-1260" w:leftChars="-600" w:right="-1375" w:rightChars="-655"/>
        <w:rPr>
          <w:rFonts w:hint="eastAsia" w:ascii="宋体" w:hAnsi="宋体" w:cs="宋体"/>
          <w:color w:val="auto"/>
          <w:szCs w:val="21"/>
          <w:highlight w:val="none"/>
        </w:rPr>
      </w:pPr>
      <w:r>
        <w:rPr>
          <w:rFonts w:hint="eastAsia" w:ascii="宋体" w:hAnsi="宋体" w:cs="宋体"/>
          <w:color w:val="auto"/>
          <w:szCs w:val="21"/>
          <w:highlight w:val="none"/>
          <w:lang w:bidi="ar"/>
        </w:rPr>
        <w:t xml:space="preserve">法定代表人或授权人：                    电话：                                                        </w:t>
      </w:r>
    </w:p>
    <w:p w14:paraId="6522EEE4">
      <w:pPr>
        <w:spacing w:line="340" w:lineRule="exact"/>
        <w:ind w:left="-1260" w:leftChars="-600" w:right="-1375" w:rightChars="-655"/>
        <w:rPr>
          <w:rFonts w:hint="eastAsia" w:ascii="宋体" w:hAnsi="宋体" w:cs="宋体"/>
          <w:color w:val="auto"/>
          <w:szCs w:val="21"/>
          <w:highlight w:val="none"/>
        </w:rPr>
      </w:pPr>
      <w:r>
        <w:rPr>
          <w:rFonts w:hint="eastAsia" w:ascii="宋体" w:hAnsi="宋体" w:cs="宋体"/>
          <w:color w:val="auto"/>
          <w:szCs w:val="21"/>
          <w:highlight w:val="none"/>
          <w:lang w:bidi="ar"/>
        </w:rPr>
        <w:t xml:space="preserve">开户行：                      </w:t>
      </w:r>
    </w:p>
    <w:p w14:paraId="08339A4A">
      <w:pPr>
        <w:spacing w:line="340" w:lineRule="exact"/>
        <w:ind w:left="-1260" w:leftChars="-600" w:right="-1375" w:rightChars="-655"/>
        <w:rPr>
          <w:rFonts w:hint="eastAsia" w:ascii="宋体" w:hAnsi="宋体" w:cs="宋体"/>
          <w:color w:val="auto"/>
          <w:szCs w:val="21"/>
          <w:highlight w:val="none"/>
        </w:rPr>
      </w:pPr>
      <w:r>
        <w:rPr>
          <w:rFonts w:hint="eastAsia" w:ascii="宋体" w:hAnsi="宋体" w:cs="宋体"/>
          <w:color w:val="auto"/>
          <w:szCs w:val="21"/>
          <w:highlight w:val="none"/>
          <w:lang w:bidi="ar"/>
        </w:rPr>
        <w:t xml:space="preserve">账号：                       </w:t>
      </w:r>
      <w:r>
        <w:rPr>
          <w:rFonts w:hint="eastAsia" w:ascii="宋体" w:hAnsi="宋体" w:cs="宋体"/>
          <w:color w:val="auto"/>
          <w:szCs w:val="21"/>
          <w:highlight w:val="none"/>
          <w:lang w:bidi="ar"/>
        </w:rPr>
        <w:tab/>
      </w:r>
      <w:r>
        <w:rPr>
          <w:rFonts w:hint="eastAsia" w:ascii="宋体" w:hAnsi="宋体" w:cs="宋体"/>
          <w:color w:val="auto"/>
          <w:szCs w:val="21"/>
          <w:highlight w:val="none"/>
          <w:lang w:bidi="ar"/>
        </w:rPr>
        <w:tab/>
      </w:r>
      <w:r>
        <w:rPr>
          <w:rFonts w:hint="eastAsia" w:ascii="宋体" w:hAnsi="宋体" w:cs="宋体"/>
          <w:color w:val="auto"/>
          <w:szCs w:val="21"/>
          <w:highlight w:val="none"/>
          <w:lang w:bidi="ar"/>
        </w:rPr>
        <w:tab/>
      </w:r>
      <w:r>
        <w:rPr>
          <w:rFonts w:hint="eastAsia" w:ascii="宋体" w:hAnsi="宋体" w:cs="宋体"/>
          <w:color w:val="auto"/>
          <w:szCs w:val="21"/>
          <w:highlight w:val="none"/>
          <w:lang w:bidi="ar"/>
        </w:rPr>
        <w:tab/>
      </w:r>
      <w:r>
        <w:rPr>
          <w:rFonts w:hint="eastAsia" w:ascii="宋体" w:hAnsi="宋体" w:cs="宋体"/>
          <w:color w:val="auto"/>
          <w:szCs w:val="21"/>
          <w:highlight w:val="none"/>
          <w:lang w:bidi="ar"/>
        </w:rPr>
        <w:tab/>
      </w:r>
    </w:p>
    <w:p w14:paraId="3EB2CD38">
      <w:pPr>
        <w:spacing w:line="340" w:lineRule="exact"/>
        <w:ind w:left="-1260" w:leftChars="-600" w:right="-1375" w:rightChars="-655"/>
        <w:rPr>
          <w:rFonts w:hint="eastAsia" w:ascii="宋体" w:hAnsi="宋体" w:cs="宋体"/>
          <w:color w:val="auto"/>
          <w:szCs w:val="21"/>
          <w:highlight w:val="none"/>
        </w:rPr>
      </w:pPr>
      <w:r>
        <w:rPr>
          <w:rFonts w:hint="eastAsia" w:ascii="宋体" w:hAnsi="宋体" w:cs="宋体"/>
          <w:color w:val="auto"/>
          <w:szCs w:val="21"/>
          <w:highlight w:val="none"/>
          <w:lang w:bidi="ar"/>
        </w:rPr>
        <w:t xml:space="preserve">社会信用代码：                </w:t>
      </w:r>
      <w:r>
        <w:rPr>
          <w:rFonts w:hint="eastAsia" w:ascii="宋体" w:hAnsi="宋体" w:cs="宋体"/>
          <w:color w:val="auto"/>
          <w:szCs w:val="21"/>
          <w:highlight w:val="none"/>
          <w:lang w:bidi="ar"/>
        </w:rPr>
        <w:tab/>
      </w:r>
      <w:r>
        <w:rPr>
          <w:rFonts w:hint="eastAsia" w:ascii="宋体" w:hAnsi="宋体" w:cs="宋体"/>
          <w:color w:val="auto"/>
          <w:szCs w:val="21"/>
          <w:highlight w:val="none"/>
          <w:lang w:bidi="ar"/>
        </w:rPr>
        <w:tab/>
      </w:r>
      <w:r>
        <w:rPr>
          <w:rFonts w:hint="eastAsia" w:ascii="宋体" w:hAnsi="宋体" w:cs="宋体"/>
          <w:color w:val="auto"/>
          <w:szCs w:val="21"/>
          <w:highlight w:val="none"/>
          <w:lang w:bidi="ar"/>
        </w:rPr>
        <w:tab/>
      </w:r>
      <w:r>
        <w:rPr>
          <w:rFonts w:hint="eastAsia" w:ascii="宋体" w:hAnsi="宋体" w:cs="宋体"/>
          <w:color w:val="auto"/>
          <w:szCs w:val="21"/>
          <w:highlight w:val="none"/>
          <w:lang w:bidi="ar"/>
        </w:rPr>
        <w:tab/>
      </w:r>
      <w:r>
        <w:rPr>
          <w:rFonts w:hint="eastAsia" w:ascii="宋体" w:hAnsi="宋体" w:cs="宋体"/>
          <w:color w:val="auto"/>
          <w:szCs w:val="21"/>
          <w:highlight w:val="none"/>
          <w:lang w:bidi="ar"/>
        </w:rPr>
        <w:tab/>
      </w:r>
    </w:p>
    <w:p w14:paraId="6C77A9FE">
      <w:pPr>
        <w:spacing w:line="340" w:lineRule="exact"/>
        <w:ind w:left="-1260" w:leftChars="-600" w:right="-1375" w:rightChars="-655"/>
        <w:rPr>
          <w:rFonts w:hint="eastAsia" w:ascii="宋体" w:hAnsi="宋体" w:cs="宋体"/>
          <w:color w:val="auto"/>
          <w:szCs w:val="21"/>
          <w:highlight w:val="none"/>
        </w:rPr>
      </w:pPr>
      <w:r>
        <w:rPr>
          <w:rFonts w:hint="eastAsia" w:ascii="宋体" w:hAnsi="宋体" w:cs="宋体"/>
          <w:color w:val="auto"/>
          <w:szCs w:val="21"/>
          <w:highlight w:val="none"/>
          <w:lang w:bidi="ar"/>
        </w:rPr>
        <w:t xml:space="preserve">业务联系人：                      手机号：                </w:t>
      </w:r>
      <w:r>
        <w:rPr>
          <w:rFonts w:hint="eastAsia" w:ascii="宋体" w:hAnsi="宋体" w:cs="宋体"/>
          <w:color w:val="auto"/>
          <w:szCs w:val="21"/>
          <w:highlight w:val="none"/>
          <w:lang w:val="en-US" w:eastAsia="zh-CN" w:bidi="ar"/>
        </w:rPr>
        <w:t>邮箱</w:t>
      </w:r>
      <w:r>
        <w:rPr>
          <w:rFonts w:hint="eastAsia" w:ascii="宋体" w:hAnsi="宋体" w:cs="宋体"/>
          <w:color w:val="auto"/>
          <w:szCs w:val="21"/>
          <w:highlight w:val="none"/>
          <w:lang w:bidi="ar"/>
        </w:rPr>
        <w:t xml:space="preserve">：     </w:t>
      </w:r>
      <w:r>
        <w:rPr>
          <w:rFonts w:hint="eastAsia" w:ascii="宋体" w:hAnsi="宋体" w:cs="宋体"/>
          <w:color w:val="auto"/>
          <w:szCs w:val="21"/>
          <w:highlight w:val="none"/>
          <w:lang w:bidi="ar"/>
        </w:rPr>
        <w:t xml:space="preserve">                   </w:t>
      </w:r>
      <w:r>
        <w:rPr>
          <w:rFonts w:hint="eastAsia" w:ascii="宋体" w:hAnsi="宋体" w:cs="宋体"/>
          <w:color w:val="auto"/>
          <w:szCs w:val="21"/>
          <w:highlight w:val="none"/>
          <w:lang w:bidi="ar"/>
        </w:rPr>
        <w:tab/>
      </w:r>
      <w:r>
        <w:rPr>
          <w:rFonts w:hint="eastAsia" w:ascii="宋体" w:hAnsi="宋体" w:cs="宋体"/>
          <w:color w:val="auto"/>
          <w:szCs w:val="21"/>
          <w:highlight w:val="none"/>
          <w:lang w:bidi="ar"/>
        </w:rPr>
        <w:tab/>
      </w:r>
    </w:p>
    <w:p w14:paraId="45C16E82">
      <w:pPr>
        <w:spacing w:line="340" w:lineRule="exact"/>
        <w:ind w:left="-1260" w:leftChars="-600" w:right="-1375" w:rightChars="-655"/>
        <w:rPr>
          <w:rFonts w:hint="eastAsia" w:ascii="宋体" w:hAnsi="宋体" w:cs="宋体"/>
          <w:color w:val="auto"/>
          <w:szCs w:val="21"/>
          <w:highlight w:val="none"/>
          <w:lang w:bidi="ar"/>
        </w:rPr>
      </w:pPr>
    </w:p>
    <w:p w14:paraId="28B9472C">
      <w:pPr>
        <w:spacing w:line="340" w:lineRule="exact"/>
        <w:ind w:left="-1260" w:leftChars="-600" w:right="-1375" w:rightChars="-655"/>
        <w:rPr>
          <w:rFonts w:hint="eastAsia" w:ascii="宋体" w:hAnsi="宋体" w:cs="宋体"/>
          <w:color w:val="auto"/>
          <w:szCs w:val="21"/>
          <w:highlight w:val="none"/>
        </w:rPr>
      </w:pPr>
      <w:r>
        <w:rPr>
          <w:rFonts w:hint="eastAsia" w:ascii="宋体" w:hAnsi="宋体" w:cs="宋体"/>
          <w:color w:val="auto"/>
          <w:szCs w:val="21"/>
          <w:highlight w:val="none"/>
          <w:lang w:bidi="ar"/>
        </w:rPr>
        <w:t>买方名称</w:t>
      </w:r>
      <w:r>
        <w:rPr>
          <w:rFonts w:hint="eastAsia" w:ascii="宋体" w:hAnsi="宋体" w:cs="宋体"/>
          <w:color w:val="auto"/>
          <w:szCs w:val="21"/>
          <w:highlight w:val="none"/>
          <w:lang w:bidi="ar"/>
        </w:rPr>
        <w:t>（盖章）：</w:t>
      </w:r>
      <w:r>
        <w:rPr>
          <w:rFonts w:hint="eastAsia" w:ascii="宋体" w:hAnsi="宋体" w:cs="宋体"/>
          <w:color w:val="auto"/>
          <w:szCs w:val="21"/>
          <w:highlight w:val="none"/>
          <w:lang w:bidi="ar"/>
        </w:rPr>
        <w:t xml:space="preserve">                                             </w:t>
      </w:r>
    </w:p>
    <w:p w14:paraId="66EC2392">
      <w:pPr>
        <w:spacing w:line="340" w:lineRule="exact"/>
        <w:ind w:left="-1260" w:leftChars="-600" w:right="-1375" w:rightChars="-655"/>
        <w:rPr>
          <w:rFonts w:hint="eastAsia" w:ascii="宋体" w:hAnsi="宋体" w:cs="宋体"/>
          <w:color w:val="auto"/>
          <w:szCs w:val="21"/>
          <w:highlight w:val="none"/>
        </w:rPr>
      </w:pPr>
      <w:r>
        <w:rPr>
          <w:rFonts w:hint="eastAsia" w:ascii="宋体" w:hAnsi="宋体" w:cs="宋体"/>
          <w:color w:val="auto"/>
          <w:szCs w:val="21"/>
          <w:highlight w:val="none"/>
          <w:lang w:bidi="ar"/>
        </w:rPr>
        <w:t xml:space="preserve">地址：                                                   </w:t>
      </w:r>
    </w:p>
    <w:p w14:paraId="0C1D87E9">
      <w:pPr>
        <w:spacing w:line="340" w:lineRule="exact"/>
        <w:ind w:left="-1260" w:leftChars="-600" w:right="-1375" w:rightChars="-655"/>
        <w:rPr>
          <w:rFonts w:hint="eastAsia" w:ascii="宋体" w:hAnsi="宋体" w:cs="宋体"/>
          <w:color w:val="auto"/>
          <w:szCs w:val="21"/>
          <w:highlight w:val="none"/>
        </w:rPr>
      </w:pPr>
      <w:r>
        <w:rPr>
          <w:rFonts w:hint="eastAsia" w:ascii="宋体" w:hAnsi="宋体" w:cs="宋体"/>
          <w:color w:val="auto"/>
          <w:szCs w:val="21"/>
          <w:highlight w:val="none"/>
          <w:lang w:bidi="ar"/>
        </w:rPr>
        <w:t xml:space="preserve">法定代表人或授权人：                    电话：                                                        </w:t>
      </w:r>
    </w:p>
    <w:p w14:paraId="63F3B063">
      <w:pPr>
        <w:spacing w:line="340" w:lineRule="exact"/>
        <w:ind w:left="-1260" w:leftChars="-600" w:right="-1375" w:rightChars="-655"/>
        <w:rPr>
          <w:rFonts w:hint="eastAsia" w:ascii="宋体" w:hAnsi="宋体" w:cs="宋体"/>
          <w:color w:val="auto"/>
          <w:szCs w:val="21"/>
          <w:highlight w:val="none"/>
        </w:rPr>
      </w:pPr>
      <w:r>
        <w:rPr>
          <w:rFonts w:hint="eastAsia" w:ascii="宋体" w:hAnsi="宋体" w:cs="宋体"/>
          <w:color w:val="auto"/>
          <w:szCs w:val="21"/>
          <w:highlight w:val="none"/>
          <w:lang w:bidi="ar"/>
        </w:rPr>
        <w:t xml:space="preserve">开户行：                      </w:t>
      </w:r>
    </w:p>
    <w:p w14:paraId="16C2AF64">
      <w:pPr>
        <w:spacing w:line="340" w:lineRule="exact"/>
        <w:ind w:left="-1260" w:leftChars="-600" w:right="-1375" w:rightChars="-655"/>
        <w:rPr>
          <w:rFonts w:hint="eastAsia" w:ascii="宋体" w:hAnsi="宋体" w:cs="宋体"/>
          <w:color w:val="auto"/>
          <w:szCs w:val="21"/>
          <w:highlight w:val="none"/>
        </w:rPr>
      </w:pPr>
      <w:r>
        <w:rPr>
          <w:rFonts w:hint="eastAsia" w:ascii="宋体" w:hAnsi="宋体" w:cs="宋体"/>
          <w:color w:val="auto"/>
          <w:szCs w:val="21"/>
          <w:highlight w:val="none"/>
          <w:lang w:bidi="ar"/>
        </w:rPr>
        <w:t xml:space="preserve">账号：                       </w:t>
      </w:r>
      <w:r>
        <w:rPr>
          <w:rFonts w:hint="eastAsia" w:ascii="宋体" w:hAnsi="宋体" w:cs="宋体"/>
          <w:color w:val="auto"/>
          <w:szCs w:val="21"/>
          <w:highlight w:val="none"/>
          <w:lang w:bidi="ar"/>
        </w:rPr>
        <w:tab/>
      </w:r>
      <w:r>
        <w:rPr>
          <w:rFonts w:hint="eastAsia" w:ascii="宋体" w:hAnsi="宋体" w:cs="宋体"/>
          <w:color w:val="auto"/>
          <w:szCs w:val="21"/>
          <w:highlight w:val="none"/>
          <w:lang w:bidi="ar"/>
        </w:rPr>
        <w:tab/>
      </w:r>
      <w:r>
        <w:rPr>
          <w:rFonts w:hint="eastAsia" w:ascii="宋体" w:hAnsi="宋体" w:cs="宋体"/>
          <w:color w:val="auto"/>
          <w:szCs w:val="21"/>
          <w:highlight w:val="none"/>
          <w:lang w:bidi="ar"/>
        </w:rPr>
        <w:tab/>
      </w:r>
      <w:r>
        <w:rPr>
          <w:rFonts w:hint="eastAsia" w:ascii="宋体" w:hAnsi="宋体" w:cs="宋体"/>
          <w:color w:val="auto"/>
          <w:szCs w:val="21"/>
          <w:highlight w:val="none"/>
          <w:lang w:bidi="ar"/>
        </w:rPr>
        <w:tab/>
      </w:r>
      <w:r>
        <w:rPr>
          <w:rFonts w:hint="eastAsia" w:ascii="宋体" w:hAnsi="宋体" w:cs="宋体"/>
          <w:color w:val="auto"/>
          <w:szCs w:val="21"/>
          <w:highlight w:val="none"/>
          <w:lang w:bidi="ar"/>
        </w:rPr>
        <w:tab/>
      </w:r>
    </w:p>
    <w:p w14:paraId="45CF589C">
      <w:pPr>
        <w:spacing w:line="340" w:lineRule="exact"/>
        <w:ind w:left="-1260" w:leftChars="-600" w:right="-1375" w:rightChars="-655"/>
        <w:rPr>
          <w:rFonts w:hint="eastAsia" w:ascii="宋体" w:hAnsi="宋体" w:cs="宋体"/>
          <w:color w:val="auto"/>
          <w:szCs w:val="21"/>
          <w:highlight w:val="none"/>
        </w:rPr>
      </w:pPr>
      <w:r>
        <w:rPr>
          <w:rFonts w:hint="eastAsia" w:ascii="宋体" w:hAnsi="宋体" w:cs="宋体"/>
          <w:color w:val="auto"/>
          <w:szCs w:val="21"/>
          <w:highlight w:val="none"/>
          <w:lang w:bidi="ar"/>
        </w:rPr>
        <w:t xml:space="preserve">社会信用代码：                </w:t>
      </w:r>
      <w:r>
        <w:rPr>
          <w:rFonts w:hint="eastAsia" w:ascii="宋体" w:hAnsi="宋体" w:cs="宋体"/>
          <w:color w:val="auto"/>
          <w:szCs w:val="21"/>
          <w:highlight w:val="none"/>
          <w:lang w:bidi="ar"/>
        </w:rPr>
        <w:tab/>
      </w:r>
      <w:r>
        <w:rPr>
          <w:rFonts w:hint="eastAsia" w:ascii="宋体" w:hAnsi="宋体" w:cs="宋体"/>
          <w:color w:val="auto"/>
          <w:szCs w:val="21"/>
          <w:highlight w:val="none"/>
          <w:lang w:bidi="ar"/>
        </w:rPr>
        <w:tab/>
      </w:r>
      <w:r>
        <w:rPr>
          <w:rFonts w:hint="eastAsia" w:ascii="宋体" w:hAnsi="宋体" w:cs="宋体"/>
          <w:color w:val="auto"/>
          <w:szCs w:val="21"/>
          <w:highlight w:val="none"/>
          <w:lang w:bidi="ar"/>
        </w:rPr>
        <w:tab/>
      </w:r>
      <w:r>
        <w:rPr>
          <w:rFonts w:hint="eastAsia" w:ascii="宋体" w:hAnsi="宋体" w:cs="宋体"/>
          <w:color w:val="auto"/>
          <w:szCs w:val="21"/>
          <w:highlight w:val="none"/>
          <w:lang w:bidi="ar"/>
        </w:rPr>
        <w:tab/>
      </w:r>
      <w:r>
        <w:rPr>
          <w:rFonts w:hint="eastAsia" w:ascii="宋体" w:hAnsi="宋体" w:cs="宋体"/>
          <w:color w:val="auto"/>
          <w:szCs w:val="21"/>
          <w:highlight w:val="none"/>
          <w:lang w:bidi="ar"/>
        </w:rPr>
        <w:tab/>
      </w:r>
    </w:p>
    <w:p w14:paraId="3E8724E0">
      <w:pPr>
        <w:spacing w:line="340" w:lineRule="exact"/>
        <w:ind w:left="-1260" w:leftChars="-600" w:right="-1375" w:rightChars="-655"/>
        <w:rPr>
          <w:rFonts w:hint="eastAsia" w:ascii="宋体" w:hAnsi="宋体" w:cs="宋体"/>
          <w:color w:val="auto"/>
          <w:szCs w:val="21"/>
          <w:highlight w:val="none"/>
        </w:rPr>
      </w:pPr>
      <w:r>
        <w:rPr>
          <w:rFonts w:hint="eastAsia" w:ascii="宋体" w:hAnsi="宋体" w:cs="宋体"/>
          <w:color w:val="auto"/>
          <w:szCs w:val="21"/>
          <w:highlight w:val="none"/>
          <w:lang w:bidi="ar"/>
        </w:rPr>
        <w:t xml:space="preserve">业务联系人：                      手机号：              </w:t>
      </w:r>
      <w:r>
        <w:rPr>
          <w:rFonts w:hint="eastAsia" w:ascii="宋体" w:hAnsi="宋体" w:cs="宋体"/>
          <w:color w:val="auto"/>
          <w:szCs w:val="21"/>
          <w:highlight w:val="none"/>
          <w:lang w:val="en-US" w:eastAsia="zh-CN" w:bidi="ar"/>
        </w:rPr>
        <w:t xml:space="preserve">  邮箱：</w:t>
      </w:r>
      <w:r>
        <w:rPr>
          <w:rFonts w:hint="eastAsia" w:ascii="宋体" w:hAnsi="宋体" w:cs="宋体"/>
          <w:color w:val="auto"/>
          <w:szCs w:val="21"/>
          <w:highlight w:val="none"/>
          <w:lang w:val="en-US" w:eastAsia="zh-CN" w:bidi="ar"/>
        </w:rPr>
        <w:tab/>
      </w:r>
      <w:r>
        <w:rPr>
          <w:rFonts w:hint="eastAsia" w:ascii="宋体" w:hAnsi="宋体" w:cs="宋体"/>
          <w:color w:val="auto"/>
          <w:szCs w:val="21"/>
          <w:highlight w:val="none"/>
          <w:lang w:bidi="ar"/>
        </w:rPr>
        <w:tab/>
      </w:r>
      <w:r>
        <w:rPr>
          <w:rFonts w:hint="eastAsia" w:ascii="宋体" w:hAnsi="宋体" w:cs="宋体"/>
          <w:color w:val="auto"/>
          <w:szCs w:val="21"/>
          <w:highlight w:val="none"/>
          <w:lang w:bidi="ar"/>
        </w:rPr>
        <w:tab/>
      </w:r>
    </w:p>
    <w:p w14:paraId="619E74CC">
      <w:pPr>
        <w:spacing w:line="340" w:lineRule="exact"/>
        <w:ind w:left="-1260" w:leftChars="-600" w:right="-1375" w:rightChars="-655"/>
        <w:rPr>
          <w:rFonts w:hint="eastAsia" w:ascii="宋体" w:hAnsi="宋体" w:cs="宋体"/>
          <w:color w:val="auto"/>
          <w:szCs w:val="21"/>
          <w:highlight w:val="none"/>
        </w:rPr>
      </w:pPr>
    </w:p>
    <w:p w14:paraId="16F3A4A2">
      <w:pPr>
        <w:spacing w:line="340" w:lineRule="exact"/>
        <w:ind w:left="-1260" w:leftChars="-600" w:right="-1375" w:rightChars="-655"/>
        <w:rPr>
          <w:rFonts w:hint="eastAsia" w:ascii="宋体" w:hAnsi="宋体" w:cs="宋体"/>
          <w:color w:val="auto"/>
          <w:szCs w:val="21"/>
          <w:highlight w:val="none"/>
        </w:rPr>
      </w:pPr>
      <w:r>
        <w:rPr>
          <w:rFonts w:hint="eastAsia" w:ascii="宋体" w:hAnsi="宋体" w:cs="宋体"/>
          <w:color w:val="auto"/>
          <w:szCs w:val="21"/>
          <w:highlight w:val="none"/>
          <w:lang w:bidi="ar"/>
        </w:rPr>
        <w:t xml:space="preserve">见证人： </w:t>
      </w:r>
    </w:p>
    <w:p w14:paraId="1BFF8B42">
      <w:pPr>
        <w:spacing w:line="340" w:lineRule="exact"/>
        <w:ind w:left="-1260" w:leftChars="-600" w:right="-1375" w:rightChars="-655"/>
        <w:rPr>
          <w:rFonts w:hint="eastAsia" w:ascii="宋体" w:hAnsi="宋体" w:cs="宋体"/>
          <w:color w:val="auto"/>
          <w:szCs w:val="21"/>
          <w:highlight w:val="none"/>
        </w:rPr>
      </w:pPr>
      <w:r>
        <w:rPr>
          <w:rFonts w:hint="eastAsia" w:ascii="宋体" w:hAnsi="宋体" w:cs="宋体"/>
          <w:color w:val="auto"/>
          <w:szCs w:val="21"/>
          <w:highlight w:val="none"/>
          <w:lang w:bidi="ar"/>
        </w:rPr>
        <w:t>见证方（盖章）：全国棉花交易市场</w:t>
      </w:r>
    </w:p>
    <w:p w14:paraId="358E237E">
      <w:pPr>
        <w:spacing w:line="340" w:lineRule="exact"/>
        <w:ind w:left="-1260" w:leftChars="-600" w:right="-1375" w:rightChars="-655"/>
        <w:rPr>
          <w:rFonts w:hint="eastAsia" w:ascii="宋体" w:hAnsi="宋体" w:cs="宋体"/>
          <w:color w:val="auto"/>
          <w:szCs w:val="21"/>
          <w:highlight w:val="none"/>
        </w:rPr>
      </w:pPr>
    </w:p>
    <w:p w14:paraId="28F45B50">
      <w:pPr>
        <w:spacing w:line="340" w:lineRule="exact"/>
        <w:ind w:left="-1260" w:leftChars="-600" w:right="-1375" w:rightChars="-655"/>
        <w:rPr>
          <w:rFonts w:hint="eastAsia" w:ascii="宋体" w:hAnsi="宋体" w:cs="宋体"/>
          <w:color w:val="auto"/>
          <w:szCs w:val="21"/>
          <w:highlight w:val="none"/>
          <w:lang w:bidi="ar"/>
        </w:rPr>
      </w:pPr>
      <w:r>
        <w:rPr>
          <w:rFonts w:hint="eastAsia"/>
          <w:color w:val="auto"/>
          <w:szCs w:val="21"/>
          <w:highlight w:val="none"/>
          <w:lang w:bidi="ar"/>
        </w:rPr>
        <w:t>根据《中华人民共和国民法典》等相关法律法规及</w:t>
      </w:r>
      <w:r>
        <w:rPr>
          <w:rFonts w:hint="eastAsia" w:ascii="宋体" w:hAnsi="宋体" w:cs="宋体"/>
          <w:color w:val="auto"/>
          <w:szCs w:val="21"/>
          <w:highlight w:val="none"/>
          <w:lang w:bidi="ar"/>
        </w:rPr>
        <w:t>《全国棉花交易市场商品棉交易交割办法》（202</w:t>
      </w:r>
      <w:r>
        <w:rPr>
          <w:rFonts w:hint="eastAsia" w:ascii="宋体" w:hAnsi="宋体" w:cs="宋体"/>
          <w:color w:val="auto"/>
          <w:szCs w:val="21"/>
          <w:highlight w:val="none"/>
          <w:lang w:val="en-US" w:eastAsia="zh-CN" w:bidi="ar"/>
        </w:rPr>
        <w:t>6</w:t>
      </w:r>
      <w:r>
        <w:rPr>
          <w:rFonts w:hint="eastAsia" w:ascii="宋体" w:hAnsi="宋体" w:cs="宋体"/>
          <w:color w:val="auto"/>
          <w:szCs w:val="21"/>
          <w:highlight w:val="none"/>
          <w:lang w:bidi="ar"/>
        </w:rPr>
        <w:t>年版）</w:t>
      </w:r>
      <w:r>
        <w:rPr>
          <w:rFonts w:hint="eastAsia" w:ascii="宋体" w:hAnsi="宋体" w:eastAsia="宋体" w:cs="宋体"/>
          <w:color w:val="auto"/>
          <w:spacing w:val="-8"/>
          <w:highlight w:val="none"/>
        </w:rPr>
        <w:t>、</w:t>
      </w:r>
      <w:r>
        <w:rPr>
          <w:rFonts w:hint="eastAsia" w:ascii="宋体" w:hAnsi="宋体" w:eastAsia="宋体" w:cs="宋体"/>
          <w:color w:val="auto"/>
          <w:spacing w:val="-6"/>
          <w:highlight w:val="none"/>
        </w:rPr>
        <w:t>全国棉花交易市场</w:t>
      </w:r>
      <w:r>
        <w:rPr>
          <w:rFonts w:hint="eastAsia" w:ascii="宋体" w:hAnsi="宋体" w:eastAsia="宋体" w:cs="宋体"/>
          <w:color w:val="auto"/>
          <w:highlight w:val="none"/>
        </w:rPr>
        <w:t>（以下简称交易市场）</w:t>
      </w:r>
      <w:r>
        <w:rPr>
          <w:rFonts w:hint="eastAsia" w:ascii="宋体" w:hAnsi="宋体" w:eastAsia="宋体" w:cs="宋体"/>
          <w:color w:val="auto"/>
          <w:spacing w:val="-6"/>
          <w:highlight w:val="none"/>
        </w:rPr>
        <w:t>在中国棉花信息网发布的相关公告有关规定</w:t>
      </w:r>
      <w:r>
        <w:rPr>
          <w:rFonts w:hint="eastAsia"/>
          <w:color w:val="auto"/>
          <w:szCs w:val="21"/>
          <w:highlight w:val="none"/>
          <w:lang w:bidi="ar"/>
        </w:rPr>
        <w:t>，</w:t>
      </w:r>
      <w:r>
        <w:rPr>
          <w:rFonts w:hint="eastAsia" w:ascii="宋体" w:hAnsi="宋体" w:cs="宋体"/>
          <w:color w:val="auto"/>
          <w:szCs w:val="21"/>
          <w:highlight w:val="none"/>
          <w:lang w:bidi="ar"/>
        </w:rPr>
        <w:t>买卖双方通过交易市场达成交易，本着平等互利、协商一致的原则，签订本合同，由交易市场见证。</w:t>
      </w:r>
    </w:p>
    <w:p w14:paraId="415FCAED">
      <w:pPr>
        <w:spacing w:line="340" w:lineRule="exact"/>
        <w:ind w:left="-1260" w:leftChars="-600" w:right="-1375" w:rightChars="-655"/>
        <w:rPr>
          <w:rFonts w:hint="eastAsia" w:ascii="宋体" w:hAnsi="宋体"/>
          <w:color w:val="auto"/>
          <w:szCs w:val="21"/>
          <w:highlight w:val="none"/>
          <w:lang w:bidi="ar"/>
        </w:rPr>
      </w:pPr>
      <w:r>
        <w:rPr>
          <w:rFonts w:hint="eastAsia" w:ascii="宋体" w:hAnsi="宋体" w:cs="宋体"/>
          <w:b/>
          <w:color w:val="auto"/>
          <w:szCs w:val="21"/>
          <w:highlight w:val="none"/>
          <w:lang w:bidi="ar"/>
        </w:rPr>
        <w:t>第一条</w:t>
      </w:r>
      <w:r>
        <w:rPr>
          <w:rFonts w:hint="eastAsia" w:ascii="宋体" w:hAnsi="宋体" w:cs="宋体"/>
          <w:color w:val="auto"/>
          <w:szCs w:val="21"/>
          <w:highlight w:val="none"/>
          <w:lang w:bidi="ar"/>
        </w:rPr>
        <w:t xml:space="preserve">  </w:t>
      </w:r>
      <w:r>
        <w:rPr>
          <w:rFonts w:hint="eastAsia" w:ascii="宋体" w:hAnsi="宋体"/>
          <w:color w:val="auto"/>
          <w:szCs w:val="21"/>
          <w:highlight w:val="none"/>
          <w:lang w:bidi="ar"/>
        </w:rPr>
        <w:t>批号、件数、重量、仓库、单价及金额</w:t>
      </w:r>
    </w:p>
    <w:tbl>
      <w:tblPr>
        <w:tblStyle w:val="13"/>
        <w:tblW w:w="10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972"/>
        <w:gridCol w:w="1407"/>
        <w:gridCol w:w="2008"/>
        <w:gridCol w:w="769"/>
        <w:gridCol w:w="2190"/>
        <w:gridCol w:w="2005"/>
      </w:tblGrid>
      <w:tr w14:paraId="1F45C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503" w:type="dxa"/>
            <w:shd w:val="clear" w:color="auto" w:fill="auto"/>
            <w:vAlign w:val="center"/>
          </w:tcPr>
          <w:p w14:paraId="6CBAEC15">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批号</w:t>
            </w:r>
          </w:p>
        </w:tc>
        <w:tc>
          <w:tcPr>
            <w:tcW w:w="972" w:type="dxa"/>
            <w:shd w:val="clear" w:color="auto" w:fill="auto"/>
            <w:vAlign w:val="center"/>
          </w:tcPr>
          <w:p w14:paraId="21C1940A">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件数</w:t>
            </w:r>
          </w:p>
        </w:tc>
        <w:tc>
          <w:tcPr>
            <w:tcW w:w="1407" w:type="dxa"/>
            <w:shd w:val="clear" w:color="auto" w:fill="auto"/>
            <w:vAlign w:val="center"/>
          </w:tcPr>
          <w:p w14:paraId="6DE6E75C">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合同重量（吨）</w:t>
            </w:r>
          </w:p>
        </w:tc>
        <w:tc>
          <w:tcPr>
            <w:tcW w:w="2008" w:type="dxa"/>
            <w:shd w:val="clear" w:color="auto" w:fill="auto"/>
            <w:vAlign w:val="center"/>
          </w:tcPr>
          <w:p w14:paraId="2A44B7A6">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单价（元/吨，含税）</w:t>
            </w:r>
          </w:p>
        </w:tc>
        <w:tc>
          <w:tcPr>
            <w:tcW w:w="2959" w:type="dxa"/>
            <w:gridSpan w:val="2"/>
            <w:shd w:val="clear" w:color="auto" w:fill="auto"/>
            <w:vAlign w:val="center"/>
          </w:tcPr>
          <w:p w14:paraId="15EF432A">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批次货款（元，含税）</w:t>
            </w:r>
          </w:p>
        </w:tc>
        <w:tc>
          <w:tcPr>
            <w:tcW w:w="2005" w:type="dxa"/>
            <w:shd w:val="clear" w:color="auto" w:fill="auto"/>
            <w:vAlign w:val="center"/>
          </w:tcPr>
          <w:p w14:paraId="04A014E4">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指定交割（监管）仓库</w:t>
            </w:r>
          </w:p>
        </w:tc>
      </w:tr>
      <w:tr w14:paraId="31976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503" w:type="dxa"/>
            <w:shd w:val="clear" w:color="auto" w:fill="auto"/>
            <w:vAlign w:val="center"/>
          </w:tcPr>
          <w:p w14:paraId="02B34FD0">
            <w:pPr>
              <w:jc w:val="center"/>
              <w:rPr>
                <w:rFonts w:hint="eastAsia" w:ascii="宋体" w:hAnsi="宋体" w:eastAsia="宋体" w:cs="宋体"/>
                <w:color w:val="auto"/>
                <w:sz w:val="16"/>
                <w:szCs w:val="16"/>
                <w:highlight w:val="none"/>
              </w:rPr>
            </w:pPr>
          </w:p>
        </w:tc>
        <w:tc>
          <w:tcPr>
            <w:tcW w:w="972" w:type="dxa"/>
            <w:shd w:val="clear" w:color="auto" w:fill="auto"/>
            <w:vAlign w:val="center"/>
          </w:tcPr>
          <w:p w14:paraId="6A372A31">
            <w:pPr>
              <w:jc w:val="center"/>
              <w:rPr>
                <w:rFonts w:hint="eastAsia" w:ascii="宋体" w:hAnsi="宋体" w:eastAsia="宋体" w:cs="宋体"/>
                <w:color w:val="auto"/>
                <w:sz w:val="16"/>
                <w:szCs w:val="16"/>
                <w:highlight w:val="none"/>
              </w:rPr>
            </w:pPr>
          </w:p>
        </w:tc>
        <w:tc>
          <w:tcPr>
            <w:tcW w:w="1407" w:type="dxa"/>
            <w:shd w:val="clear" w:color="auto" w:fill="auto"/>
            <w:vAlign w:val="center"/>
          </w:tcPr>
          <w:p w14:paraId="30E2DBF1">
            <w:pPr>
              <w:jc w:val="center"/>
              <w:rPr>
                <w:rFonts w:hint="eastAsia" w:ascii="宋体" w:hAnsi="宋体" w:eastAsia="宋体" w:cs="宋体"/>
                <w:color w:val="auto"/>
                <w:sz w:val="16"/>
                <w:szCs w:val="16"/>
                <w:highlight w:val="none"/>
              </w:rPr>
            </w:pPr>
          </w:p>
        </w:tc>
        <w:tc>
          <w:tcPr>
            <w:tcW w:w="2008" w:type="dxa"/>
            <w:shd w:val="clear" w:color="auto" w:fill="auto"/>
            <w:vAlign w:val="center"/>
          </w:tcPr>
          <w:p w14:paraId="6FF2B7E9">
            <w:pPr>
              <w:jc w:val="center"/>
              <w:rPr>
                <w:rFonts w:hint="eastAsia" w:ascii="宋体" w:hAnsi="宋体" w:eastAsia="宋体" w:cs="宋体"/>
                <w:color w:val="auto"/>
                <w:sz w:val="16"/>
                <w:szCs w:val="16"/>
                <w:highlight w:val="none"/>
              </w:rPr>
            </w:pPr>
          </w:p>
        </w:tc>
        <w:tc>
          <w:tcPr>
            <w:tcW w:w="2959" w:type="dxa"/>
            <w:gridSpan w:val="2"/>
            <w:shd w:val="clear" w:color="auto" w:fill="auto"/>
            <w:vAlign w:val="center"/>
          </w:tcPr>
          <w:p w14:paraId="7FA9F2A6">
            <w:pPr>
              <w:jc w:val="center"/>
              <w:rPr>
                <w:rFonts w:hint="eastAsia" w:ascii="宋体" w:hAnsi="宋体" w:eastAsia="宋体" w:cs="宋体"/>
                <w:color w:val="auto"/>
                <w:sz w:val="16"/>
                <w:szCs w:val="16"/>
                <w:highlight w:val="none"/>
              </w:rPr>
            </w:pPr>
          </w:p>
        </w:tc>
        <w:tc>
          <w:tcPr>
            <w:tcW w:w="2005" w:type="dxa"/>
            <w:shd w:val="clear" w:color="auto" w:fill="auto"/>
            <w:vAlign w:val="center"/>
          </w:tcPr>
          <w:p w14:paraId="202BEF50">
            <w:pPr>
              <w:jc w:val="center"/>
              <w:rPr>
                <w:rFonts w:hint="eastAsia" w:ascii="宋体" w:hAnsi="宋体" w:eastAsia="宋体" w:cs="宋体"/>
                <w:color w:val="auto"/>
                <w:sz w:val="16"/>
                <w:szCs w:val="16"/>
                <w:highlight w:val="none"/>
              </w:rPr>
            </w:pPr>
          </w:p>
        </w:tc>
      </w:tr>
      <w:tr w14:paraId="08084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475" w:type="dxa"/>
            <w:gridSpan w:val="2"/>
            <w:shd w:val="clear" w:color="auto" w:fill="auto"/>
            <w:vAlign w:val="center"/>
          </w:tcPr>
          <w:p w14:paraId="3706285B">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税额合计</w:t>
            </w:r>
          </w:p>
        </w:tc>
        <w:tc>
          <w:tcPr>
            <w:tcW w:w="1407" w:type="dxa"/>
            <w:shd w:val="clear" w:color="auto" w:fill="auto"/>
            <w:vAlign w:val="center"/>
          </w:tcPr>
          <w:p w14:paraId="7ADE3052">
            <w:pPr>
              <w:jc w:val="center"/>
              <w:rPr>
                <w:rFonts w:hint="eastAsia" w:ascii="宋体" w:hAnsi="宋体" w:eastAsia="宋体" w:cs="宋体"/>
                <w:color w:val="auto"/>
                <w:sz w:val="16"/>
                <w:szCs w:val="16"/>
                <w:highlight w:val="none"/>
              </w:rPr>
            </w:pPr>
          </w:p>
        </w:tc>
        <w:tc>
          <w:tcPr>
            <w:tcW w:w="2777" w:type="dxa"/>
            <w:gridSpan w:val="2"/>
            <w:shd w:val="clear" w:color="auto" w:fill="auto"/>
            <w:vAlign w:val="center"/>
          </w:tcPr>
          <w:p w14:paraId="2ECA8473">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合同货款合计（不含税）</w:t>
            </w:r>
          </w:p>
        </w:tc>
        <w:tc>
          <w:tcPr>
            <w:tcW w:w="4195" w:type="dxa"/>
            <w:gridSpan w:val="2"/>
            <w:shd w:val="clear" w:color="auto" w:fill="auto"/>
            <w:vAlign w:val="center"/>
          </w:tcPr>
          <w:p w14:paraId="186F5535">
            <w:pPr>
              <w:jc w:val="center"/>
              <w:rPr>
                <w:rFonts w:hint="eastAsia" w:ascii="宋体" w:hAnsi="宋体" w:eastAsia="宋体" w:cs="宋体"/>
                <w:color w:val="auto"/>
                <w:sz w:val="16"/>
                <w:szCs w:val="16"/>
                <w:highlight w:val="none"/>
              </w:rPr>
            </w:pPr>
          </w:p>
        </w:tc>
      </w:tr>
      <w:tr w14:paraId="4E31F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475" w:type="dxa"/>
            <w:gridSpan w:val="2"/>
            <w:shd w:val="clear" w:color="auto" w:fill="auto"/>
            <w:vAlign w:val="center"/>
          </w:tcPr>
          <w:p w14:paraId="66847888">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合计重量（吨）</w:t>
            </w:r>
          </w:p>
        </w:tc>
        <w:tc>
          <w:tcPr>
            <w:tcW w:w="1407" w:type="dxa"/>
            <w:shd w:val="clear" w:color="auto" w:fill="auto"/>
            <w:vAlign w:val="center"/>
          </w:tcPr>
          <w:p w14:paraId="6C69F41B">
            <w:pPr>
              <w:jc w:val="center"/>
              <w:rPr>
                <w:rFonts w:hint="eastAsia" w:ascii="宋体" w:hAnsi="宋体" w:eastAsia="宋体" w:cs="宋体"/>
                <w:color w:val="auto"/>
                <w:sz w:val="16"/>
                <w:szCs w:val="16"/>
                <w:highlight w:val="none"/>
              </w:rPr>
            </w:pPr>
          </w:p>
        </w:tc>
        <w:tc>
          <w:tcPr>
            <w:tcW w:w="2777" w:type="dxa"/>
            <w:gridSpan w:val="2"/>
            <w:shd w:val="clear" w:color="auto" w:fill="auto"/>
            <w:vAlign w:val="center"/>
          </w:tcPr>
          <w:p w14:paraId="46805E49">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合同货款合计（含税）</w:t>
            </w:r>
          </w:p>
        </w:tc>
        <w:tc>
          <w:tcPr>
            <w:tcW w:w="4195" w:type="dxa"/>
            <w:gridSpan w:val="2"/>
            <w:shd w:val="clear" w:color="auto" w:fill="auto"/>
            <w:vAlign w:val="center"/>
          </w:tcPr>
          <w:p w14:paraId="1B6F1ADA">
            <w:pPr>
              <w:jc w:val="center"/>
              <w:rPr>
                <w:rFonts w:hint="eastAsia" w:ascii="宋体" w:hAnsi="宋体" w:eastAsia="宋体" w:cs="宋体"/>
                <w:color w:val="auto"/>
                <w:sz w:val="16"/>
                <w:szCs w:val="16"/>
                <w:highlight w:val="none"/>
              </w:rPr>
            </w:pPr>
          </w:p>
        </w:tc>
      </w:tr>
      <w:tr w14:paraId="56593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882" w:type="dxa"/>
            <w:gridSpan w:val="3"/>
            <w:shd w:val="clear" w:color="auto" w:fill="auto"/>
            <w:vAlign w:val="center"/>
          </w:tcPr>
          <w:p w14:paraId="5923E358">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合同货款合计（含税人民币大写）</w:t>
            </w:r>
          </w:p>
        </w:tc>
        <w:tc>
          <w:tcPr>
            <w:tcW w:w="6972" w:type="dxa"/>
            <w:gridSpan w:val="4"/>
            <w:shd w:val="clear" w:color="auto" w:fill="auto"/>
            <w:noWrap/>
            <w:vAlign w:val="center"/>
          </w:tcPr>
          <w:p w14:paraId="712DF476">
            <w:pPr>
              <w:jc w:val="center"/>
              <w:rPr>
                <w:rFonts w:hint="eastAsia" w:ascii="宋体" w:hAnsi="宋体" w:eastAsia="宋体" w:cs="宋体"/>
                <w:color w:val="auto"/>
                <w:sz w:val="22"/>
                <w:szCs w:val="22"/>
                <w:highlight w:val="none"/>
              </w:rPr>
            </w:pPr>
          </w:p>
        </w:tc>
      </w:tr>
      <w:tr w14:paraId="3AACE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882" w:type="dxa"/>
            <w:gridSpan w:val="3"/>
            <w:shd w:val="clear" w:color="auto" w:fill="auto"/>
            <w:vAlign w:val="center"/>
          </w:tcPr>
          <w:p w14:paraId="2A252F72">
            <w:pPr>
              <w:widowControl/>
              <w:jc w:val="center"/>
              <w:textAlignment w:val="center"/>
              <w:rPr>
                <w:rFonts w:hint="eastAsia" w:ascii="宋体" w:hAnsi="宋体" w:eastAsia="宋体" w:cs="宋体"/>
                <w:b w:val="0"/>
                <w:bCs w:val="0"/>
                <w:color w:val="auto"/>
                <w:kern w:val="0"/>
                <w:sz w:val="16"/>
                <w:szCs w:val="16"/>
                <w:highlight w:val="none"/>
                <w:lang w:bidi="ar"/>
              </w:rPr>
            </w:pPr>
            <w:r>
              <w:rPr>
                <w:rFonts w:hint="eastAsia" w:ascii="宋体" w:hAnsi="宋体" w:eastAsia="宋体" w:cs="宋体"/>
                <w:b w:val="0"/>
                <w:bCs w:val="0"/>
                <w:color w:val="auto"/>
                <w:kern w:val="0"/>
                <w:sz w:val="16"/>
                <w:szCs w:val="16"/>
                <w:highlight w:val="none"/>
                <w:lang w:bidi="ar"/>
              </w:rPr>
              <w:t>备注</w:t>
            </w:r>
          </w:p>
        </w:tc>
        <w:tc>
          <w:tcPr>
            <w:tcW w:w="6972" w:type="dxa"/>
            <w:gridSpan w:val="4"/>
            <w:shd w:val="clear" w:color="auto" w:fill="auto"/>
            <w:noWrap/>
            <w:vAlign w:val="center"/>
          </w:tcPr>
          <w:p w14:paraId="52BD8E69">
            <w:pPr>
              <w:jc w:val="center"/>
              <w:rPr>
                <w:rFonts w:hint="eastAsia" w:ascii="宋体" w:hAnsi="宋体" w:eastAsia="宋体" w:cs="宋体"/>
                <w:b w:val="0"/>
                <w:bCs w:val="0"/>
                <w:color w:val="auto"/>
                <w:sz w:val="22"/>
                <w:szCs w:val="22"/>
                <w:highlight w:val="none"/>
              </w:rPr>
            </w:pPr>
          </w:p>
        </w:tc>
      </w:tr>
    </w:tbl>
    <w:p w14:paraId="3A1D1AB1">
      <w:pPr>
        <w:spacing w:line="340" w:lineRule="exact"/>
        <w:ind w:left="-1260" w:leftChars="-600" w:right="-1375" w:rightChars="-655"/>
        <w:rPr>
          <w:rFonts w:hint="eastAsia" w:ascii="宋体" w:hAnsi="宋体"/>
          <w:bCs/>
          <w:color w:val="auto"/>
          <w:szCs w:val="21"/>
          <w:highlight w:val="none"/>
          <w:lang w:bidi="ar"/>
        </w:rPr>
      </w:pPr>
      <w:r>
        <w:rPr>
          <w:rFonts w:hint="eastAsia" w:ascii="宋体" w:hAnsi="宋体"/>
          <w:bCs/>
          <w:color w:val="auto"/>
          <w:szCs w:val="21"/>
          <w:highlight w:val="none"/>
          <w:lang w:bidi="ar"/>
        </w:rPr>
        <w:t>如备注内容与后续条款发生冲突，以备注内容为准。</w:t>
      </w:r>
    </w:p>
    <w:p w14:paraId="315D5C80">
      <w:pPr>
        <w:numPr>
          <w:ilvl w:val="0"/>
          <w:numId w:val="1"/>
        </w:numPr>
        <w:spacing w:line="340" w:lineRule="exact"/>
        <w:ind w:left="-1260" w:leftChars="-600" w:right="-1375" w:rightChars="-655"/>
        <w:rPr>
          <w:color w:val="auto"/>
          <w:szCs w:val="21"/>
          <w:highlight w:val="none"/>
          <w:lang w:bidi="ar"/>
        </w:rPr>
      </w:pPr>
      <w:r>
        <w:rPr>
          <w:rFonts w:hint="eastAsia"/>
          <w:color w:val="auto"/>
          <w:szCs w:val="21"/>
          <w:highlight w:val="none"/>
          <w:lang w:bidi="ar"/>
        </w:rPr>
        <w:t>买卖双方通过交易市场系统成交并签署本合同，委托交易市场见证。买方须按照本合同约定付款；卖方须依据本合同约定配合在电子仓单上背书签章。买卖双方确认：无论基于何种原因，如买方依据本合同约定付款后</w:t>
      </w:r>
      <w:r>
        <w:rPr>
          <w:color w:val="auto"/>
          <w:szCs w:val="21"/>
          <w:highlight w:val="none"/>
          <w:lang w:bidi="ar"/>
        </w:rPr>
        <w:t>1</w:t>
      </w:r>
      <w:r>
        <w:rPr>
          <w:rFonts w:hint="eastAsia"/>
          <w:color w:val="auto"/>
          <w:szCs w:val="21"/>
          <w:highlight w:val="none"/>
          <w:lang w:bidi="ar"/>
        </w:rPr>
        <w:t>个工作日内，卖方未依据本合同约定在电子仓单上背书签章，则交易市场有权为买方办理仓单过户手续；无论卖方是否在电子仓单上背书签章</w:t>
      </w:r>
      <w:bookmarkStart w:id="0" w:name="_Hlk173426642"/>
      <w:r>
        <w:rPr>
          <w:rFonts w:hint="eastAsia"/>
          <w:color w:val="auto"/>
          <w:szCs w:val="21"/>
          <w:highlight w:val="none"/>
          <w:lang w:bidi="ar"/>
        </w:rPr>
        <w:t>均视为货权已完成交付</w:t>
      </w:r>
      <w:bookmarkEnd w:id="0"/>
      <w:r>
        <w:rPr>
          <w:rFonts w:hint="eastAsia"/>
          <w:color w:val="auto"/>
          <w:szCs w:val="21"/>
          <w:highlight w:val="none"/>
          <w:lang w:bidi="ar"/>
        </w:rPr>
        <w:t>，</w:t>
      </w:r>
      <w:bookmarkStart w:id="1" w:name="_Hlk173426411"/>
      <w:r>
        <w:rPr>
          <w:rFonts w:hint="eastAsia"/>
          <w:color w:val="auto"/>
          <w:szCs w:val="21"/>
          <w:highlight w:val="none"/>
          <w:lang w:bidi="ar"/>
        </w:rPr>
        <w:t>本合同项下货物的货权人由卖方变更为买方</w:t>
      </w:r>
      <w:bookmarkEnd w:id="1"/>
      <w:r>
        <w:rPr>
          <w:rFonts w:hint="eastAsia"/>
          <w:color w:val="auto"/>
          <w:szCs w:val="21"/>
          <w:highlight w:val="none"/>
          <w:lang w:bidi="ar"/>
        </w:rPr>
        <w:t>。仓单过户后或</w:t>
      </w:r>
      <w:bookmarkStart w:id="2" w:name="_Hlk173426427"/>
      <w:r>
        <w:rPr>
          <w:rFonts w:hint="eastAsia"/>
          <w:color w:val="auto"/>
          <w:szCs w:val="21"/>
          <w:highlight w:val="none"/>
          <w:lang w:bidi="ar"/>
        </w:rPr>
        <w:t>交易市场基于本合同约定办理仓单过户手续后</w:t>
      </w:r>
      <w:bookmarkEnd w:id="2"/>
      <w:r>
        <w:rPr>
          <w:rFonts w:hint="eastAsia"/>
          <w:color w:val="auto"/>
          <w:szCs w:val="21"/>
          <w:highlight w:val="none"/>
          <w:lang w:bidi="ar"/>
        </w:rPr>
        <w:t>，买方即成为仓单项下货物货权人，享有完整合法货权，卖方无权对仓单后续流转持任何异议。</w:t>
      </w:r>
    </w:p>
    <w:p w14:paraId="51DCB592">
      <w:pPr>
        <w:numPr>
          <w:ilvl w:val="0"/>
          <w:numId w:val="1"/>
        </w:numPr>
        <w:spacing w:line="340" w:lineRule="exact"/>
        <w:ind w:left="-1260" w:leftChars="-600" w:right="-1375" w:rightChars="-655"/>
        <w:rPr>
          <w:rFonts w:hint="eastAsia" w:ascii="宋体" w:hAnsi="宋体"/>
          <w:color w:val="auto"/>
          <w:highlight w:val="none"/>
          <w:lang w:bidi="ar"/>
        </w:rPr>
      </w:pPr>
      <w:r>
        <w:rPr>
          <w:rFonts w:hint="eastAsia"/>
          <w:color w:val="auto"/>
          <w:szCs w:val="21"/>
          <w:highlight w:val="none"/>
          <w:lang w:bidi="ar"/>
        </w:rPr>
        <w:t>履约保证金：1、</w:t>
      </w:r>
      <w:r>
        <w:rPr>
          <w:rFonts w:hint="eastAsia"/>
          <w:color w:val="auto"/>
          <w:szCs w:val="21"/>
          <w:highlight w:val="none"/>
          <w:lang w:bidi="ar"/>
        </w:rPr>
        <w:t>买</w:t>
      </w:r>
      <w:r>
        <w:rPr>
          <w:rFonts w:hint="eastAsia"/>
          <w:color w:val="auto"/>
          <w:szCs w:val="21"/>
          <w:highlight w:val="none"/>
          <w:lang w:val="en-US" w:eastAsia="zh-CN" w:bidi="ar"/>
        </w:rPr>
        <w:t>方</w:t>
      </w:r>
      <w:r>
        <w:rPr>
          <w:rFonts w:hint="eastAsia"/>
          <w:color w:val="auto"/>
          <w:szCs w:val="21"/>
          <w:highlight w:val="none"/>
          <w:lang w:bidi="ar"/>
        </w:rPr>
        <w:t>按对应的标准向交易市场交纳履约保证金。2、本合同执行完毕，</w:t>
      </w:r>
      <w:r>
        <w:rPr>
          <w:rFonts w:hint="eastAsia"/>
          <w:color w:val="auto"/>
          <w:szCs w:val="21"/>
          <w:highlight w:val="none"/>
          <w:lang w:val="en-US" w:eastAsia="zh-CN" w:bidi="ar"/>
        </w:rPr>
        <w:t>且</w:t>
      </w:r>
      <w:r>
        <w:rPr>
          <w:rFonts w:hint="eastAsia"/>
          <w:color w:val="auto"/>
          <w:szCs w:val="21"/>
          <w:highlight w:val="none"/>
          <w:lang w:bidi="ar"/>
        </w:rPr>
        <w:t>买卖双方无异议，</w:t>
      </w:r>
      <w:r>
        <w:rPr>
          <w:rFonts w:hint="eastAsia"/>
          <w:color w:val="auto"/>
          <w:szCs w:val="21"/>
          <w:highlight w:val="none"/>
          <w:lang w:bidi="ar"/>
        </w:rPr>
        <w:t>由交易市场</w:t>
      </w:r>
      <w:r>
        <w:rPr>
          <w:rFonts w:hint="eastAsia"/>
          <w:color w:val="auto"/>
          <w:szCs w:val="21"/>
          <w:highlight w:val="none"/>
          <w:lang w:val="en-US" w:eastAsia="zh-CN" w:bidi="ar"/>
        </w:rPr>
        <w:t>向买方</w:t>
      </w:r>
      <w:r>
        <w:rPr>
          <w:rFonts w:hint="eastAsia"/>
          <w:color w:val="auto"/>
          <w:szCs w:val="21"/>
          <w:highlight w:val="none"/>
          <w:lang w:bidi="ar"/>
        </w:rPr>
        <w:t>退还履约保证金。3、如发生违约，交易市场有权根据守约方的单方申请从违约方的履约保证金中扣划给守</w:t>
      </w:r>
      <w:r>
        <w:rPr>
          <w:rFonts w:hint="eastAsia"/>
          <w:color w:val="auto"/>
          <w:szCs w:val="21"/>
          <w:highlight w:val="none"/>
          <w:lang w:bidi="ar"/>
        </w:rPr>
        <w:t>约方。</w:t>
      </w:r>
    </w:p>
    <w:p w14:paraId="1B2E86BF">
      <w:pPr>
        <w:numPr>
          <w:ilvl w:val="0"/>
          <w:numId w:val="1"/>
        </w:numPr>
        <w:spacing w:line="340" w:lineRule="exact"/>
        <w:ind w:left="-1260" w:leftChars="-600" w:right="-1375" w:rightChars="-655"/>
        <w:rPr>
          <w:rFonts w:hint="eastAsia" w:ascii="宋体" w:hAnsi="宋体"/>
          <w:color w:val="auto"/>
          <w:highlight w:val="none"/>
          <w:lang w:bidi="ar"/>
        </w:rPr>
      </w:pPr>
      <w:r>
        <w:rPr>
          <w:rFonts w:hint="eastAsia" w:ascii="宋体" w:hAnsi="宋体"/>
          <w:color w:val="auto"/>
          <w:highlight w:val="none"/>
          <w:lang w:bidi="ar"/>
        </w:rPr>
        <w:t>质量标准和验收：</w:t>
      </w:r>
      <w:r>
        <w:rPr>
          <w:rFonts w:hint="eastAsia" w:ascii="宋体" w:hAnsi="宋体"/>
          <w:color w:val="auto"/>
          <w:szCs w:val="21"/>
          <w:highlight w:val="none"/>
          <w:lang w:bidi="ar"/>
        </w:rPr>
        <w:t>1、国产棉</w:t>
      </w:r>
      <w:r>
        <w:rPr>
          <w:rFonts w:hint="eastAsia"/>
          <w:color w:val="auto"/>
          <w:szCs w:val="21"/>
          <w:highlight w:val="none"/>
          <w:lang w:bidi="ar"/>
        </w:rPr>
        <w:t>执行</w:t>
      </w:r>
      <w:r>
        <w:rPr>
          <w:rFonts w:hint="eastAsia" w:ascii="宋体" w:hAnsi="宋体" w:eastAsia="宋体" w:cs="宋体"/>
          <w:color w:val="auto"/>
          <w:spacing w:val="-4"/>
          <w:highlight w:val="none"/>
        </w:rPr>
        <w:t>《棉花 第</w:t>
      </w:r>
      <w:r>
        <w:rPr>
          <w:rFonts w:eastAsia="宋体" w:cs="宋体"/>
          <w:color w:val="auto"/>
          <w:spacing w:val="-4"/>
          <w:highlight w:val="none"/>
        </w:rPr>
        <w:t>1</w:t>
      </w:r>
      <w:r>
        <w:rPr>
          <w:rFonts w:hint="eastAsia" w:ascii="宋体" w:hAnsi="宋体" w:eastAsia="宋体" w:cs="宋体"/>
          <w:color w:val="auto"/>
          <w:spacing w:val="-4"/>
          <w:highlight w:val="none"/>
        </w:rPr>
        <w:t>部分:锯齿加工细绒棉》（</w:t>
      </w:r>
      <w:r>
        <w:rPr>
          <w:rFonts w:eastAsia="宋体" w:cs="宋体"/>
          <w:color w:val="auto"/>
          <w:spacing w:val="-4"/>
          <w:highlight w:val="none"/>
        </w:rPr>
        <w:t>GB1103.1-2023</w:t>
      </w:r>
      <w:r>
        <w:rPr>
          <w:rFonts w:hint="eastAsia" w:ascii="宋体" w:hAnsi="宋体" w:eastAsia="宋体" w:cs="宋体"/>
          <w:color w:val="auto"/>
          <w:spacing w:val="-4"/>
          <w:highlight w:val="none"/>
        </w:rPr>
        <w:t>）、《棉花 第</w:t>
      </w:r>
      <w:r>
        <w:rPr>
          <w:rFonts w:eastAsia="宋体" w:cs="宋体"/>
          <w:color w:val="auto"/>
          <w:spacing w:val="-4"/>
          <w:highlight w:val="none"/>
        </w:rPr>
        <w:t>2</w:t>
      </w:r>
      <w:r>
        <w:rPr>
          <w:rFonts w:hint="eastAsia" w:ascii="宋体" w:hAnsi="宋体" w:eastAsia="宋体" w:cs="宋体"/>
          <w:color w:val="auto"/>
          <w:spacing w:val="-4"/>
          <w:highlight w:val="none"/>
        </w:rPr>
        <w:t>部分:皮辊加工细绒棉》（</w:t>
      </w:r>
      <w:r>
        <w:rPr>
          <w:rFonts w:eastAsia="宋体" w:cs="宋体"/>
          <w:color w:val="auto"/>
          <w:spacing w:val="-4"/>
          <w:highlight w:val="none"/>
        </w:rPr>
        <w:t>GB1103.2－2012</w:t>
      </w:r>
      <w:r>
        <w:rPr>
          <w:rFonts w:hint="eastAsia" w:ascii="宋体" w:hAnsi="宋体" w:eastAsia="宋体" w:cs="宋体"/>
          <w:color w:val="auto"/>
          <w:spacing w:val="-4"/>
          <w:highlight w:val="none"/>
        </w:rPr>
        <w:t>）、</w:t>
      </w:r>
      <w:r>
        <w:rPr>
          <w:rFonts w:hint="eastAsia" w:ascii="宋体" w:hAnsi="宋体" w:eastAsia="宋体" w:cs="宋体"/>
          <w:color w:val="auto"/>
          <w:spacing w:val="15"/>
          <w:szCs w:val="21"/>
          <w:highlight w:val="none"/>
          <w:shd w:val="clear" w:color="auto" w:fill="FBFAF9"/>
        </w:rPr>
        <w:t>《棉花</w:t>
      </w:r>
      <w:r>
        <w:rPr>
          <w:rFonts w:hint="eastAsia" w:ascii="宋体" w:hAnsi="宋体" w:eastAsia="宋体" w:cs="宋体"/>
          <w:color w:val="auto"/>
          <w:spacing w:val="15"/>
          <w:highlight w:val="none"/>
          <w:shd w:val="clear" w:color="auto" w:fill="FBFAF9"/>
        </w:rPr>
        <w:t xml:space="preserve"> </w:t>
      </w:r>
      <w:r>
        <w:rPr>
          <w:rFonts w:hint="eastAsia" w:ascii="宋体" w:hAnsi="宋体" w:eastAsia="宋体" w:cs="宋体"/>
          <w:color w:val="auto"/>
          <w:spacing w:val="15"/>
          <w:szCs w:val="21"/>
          <w:highlight w:val="none"/>
          <w:shd w:val="clear" w:color="auto" w:fill="FBFAF9"/>
        </w:rPr>
        <w:t>长绒棉》（</w:t>
      </w:r>
      <w:r>
        <w:rPr>
          <w:rFonts w:eastAsia="宋体" w:cs="宋体"/>
          <w:color w:val="auto"/>
          <w:spacing w:val="15"/>
          <w:szCs w:val="21"/>
          <w:highlight w:val="none"/>
          <w:shd w:val="clear" w:color="auto" w:fill="FBFAF9"/>
        </w:rPr>
        <w:t>GB/T19635-2024</w:t>
      </w:r>
      <w:r>
        <w:rPr>
          <w:rFonts w:hint="eastAsia" w:ascii="宋体" w:hAnsi="宋体" w:eastAsia="宋体" w:cs="宋体"/>
          <w:color w:val="auto"/>
          <w:spacing w:val="15"/>
          <w:szCs w:val="21"/>
          <w:highlight w:val="none"/>
          <w:shd w:val="clear" w:color="auto" w:fill="FBFAF9"/>
        </w:rPr>
        <w:t>）</w:t>
      </w:r>
      <w:r>
        <w:rPr>
          <w:rFonts w:hint="eastAsia"/>
          <w:color w:val="auto"/>
          <w:szCs w:val="21"/>
          <w:highlight w:val="none"/>
          <w:lang w:bidi="ar"/>
        </w:rPr>
        <w:t>标准，</w:t>
      </w:r>
      <w:r>
        <w:rPr>
          <w:rFonts w:hint="eastAsia" w:ascii="宋体" w:hAnsi="宋体" w:cs="宋体"/>
          <w:color w:val="auto"/>
          <w:szCs w:val="21"/>
          <w:highlight w:val="none"/>
          <w:lang w:bidi="ar"/>
        </w:rPr>
        <w:t>按中国纤维质量监测中心最近一次出具的公证检验证书验收；已通关进口棉按出入境检验检疫局出具的品质检验证书和重量检验证书验收。</w:t>
      </w:r>
      <w:r>
        <w:rPr>
          <w:rFonts w:hint="eastAsia" w:ascii="宋体" w:hAnsi="宋体"/>
          <w:color w:val="auto"/>
          <w:szCs w:val="21"/>
          <w:highlight w:val="none"/>
          <w:lang w:bidi="ar"/>
        </w:rPr>
        <w:t>2</w:t>
      </w:r>
      <w:r>
        <w:rPr>
          <w:rFonts w:hint="eastAsia"/>
          <w:color w:val="auto"/>
          <w:szCs w:val="21"/>
          <w:highlight w:val="none"/>
          <w:lang w:bidi="ar"/>
        </w:rPr>
        <w:t>、</w:t>
      </w:r>
      <w:r>
        <w:rPr>
          <w:rFonts w:hint="eastAsia" w:ascii="宋体" w:hAnsi="宋体"/>
          <w:color w:val="auto"/>
          <w:szCs w:val="21"/>
          <w:highlight w:val="none"/>
          <w:lang w:bidi="ar"/>
        </w:rPr>
        <w:t>买方应于仓单过户或交易市场依据本合同</w:t>
      </w:r>
      <w:r>
        <w:rPr>
          <w:rFonts w:hint="eastAsia" w:ascii="宋体" w:hAnsi="宋体"/>
          <w:color w:val="auto"/>
          <w:szCs w:val="21"/>
          <w:highlight w:val="none"/>
          <w:lang w:val="en-US" w:eastAsia="zh-CN" w:bidi="ar"/>
        </w:rPr>
        <w:t>约</w:t>
      </w:r>
      <w:r>
        <w:rPr>
          <w:rFonts w:hint="eastAsia" w:ascii="宋体" w:hAnsi="宋体"/>
          <w:color w:val="auto"/>
          <w:szCs w:val="21"/>
          <w:highlight w:val="none"/>
          <w:lang w:bidi="ar"/>
        </w:rPr>
        <w:t>定办理仓单过户手续之日起</w:t>
      </w:r>
      <w:r>
        <w:rPr>
          <w:rFonts w:hint="eastAsia" w:ascii="宋体" w:hAnsi="宋体"/>
          <w:color w:val="auto"/>
          <w:szCs w:val="21"/>
          <w:highlight w:val="none"/>
          <w:u w:val="none"/>
          <w:lang w:val="en-US" w:eastAsia="zh-CN" w:bidi="ar"/>
        </w:rPr>
        <w:t>5</w:t>
      </w:r>
      <w:r>
        <w:rPr>
          <w:rFonts w:hint="eastAsia" w:ascii="宋体" w:hAnsi="宋体"/>
          <w:color w:val="auto"/>
          <w:szCs w:val="21"/>
          <w:highlight w:val="none"/>
          <w:lang w:bidi="ar"/>
        </w:rPr>
        <w:t>日</w:t>
      </w:r>
      <w:r>
        <w:rPr>
          <w:rFonts w:hint="eastAsia" w:ascii="宋体" w:hAnsi="宋体"/>
          <w:color w:val="auto"/>
          <w:szCs w:val="21"/>
          <w:highlight w:val="none"/>
          <w:lang w:bidi="ar"/>
        </w:rPr>
        <w:t>内完成验收并向交易市场确认，若买方在</w:t>
      </w:r>
      <w:r>
        <w:rPr>
          <w:rFonts w:hint="eastAsia" w:ascii="宋体" w:hAnsi="宋体"/>
          <w:color w:val="auto"/>
          <w:szCs w:val="21"/>
          <w:highlight w:val="none"/>
          <w:lang w:val="en-US" w:eastAsia="zh-CN" w:bidi="ar"/>
        </w:rPr>
        <w:t>5</w:t>
      </w:r>
      <w:r>
        <w:rPr>
          <w:rFonts w:hint="eastAsia" w:ascii="宋体" w:hAnsi="宋体"/>
          <w:color w:val="auto"/>
          <w:szCs w:val="21"/>
          <w:highlight w:val="none"/>
          <w:lang w:bidi="ar"/>
        </w:rPr>
        <w:t>日内未向交易市场提出质量重量异议，或超过</w:t>
      </w:r>
      <w:r>
        <w:rPr>
          <w:rFonts w:hint="eastAsia" w:ascii="宋体" w:hAnsi="宋体"/>
          <w:color w:val="auto"/>
          <w:szCs w:val="21"/>
          <w:highlight w:val="none"/>
          <w:lang w:val="en-US" w:eastAsia="zh-CN" w:bidi="ar"/>
        </w:rPr>
        <w:t>5</w:t>
      </w:r>
      <w:r>
        <w:rPr>
          <w:rFonts w:hint="eastAsia" w:ascii="宋体" w:hAnsi="宋体"/>
          <w:color w:val="auto"/>
          <w:szCs w:val="21"/>
          <w:highlight w:val="none"/>
          <w:lang w:bidi="ar"/>
        </w:rPr>
        <w:t>日</w:t>
      </w:r>
      <w:r>
        <w:rPr>
          <w:rFonts w:hint="eastAsia" w:ascii="宋体" w:hAnsi="宋体"/>
          <w:color w:val="auto"/>
          <w:szCs w:val="21"/>
          <w:highlight w:val="none"/>
          <w:lang w:bidi="ar"/>
        </w:rPr>
        <w:t>未进行确认验收，则视同买方对质量重量无异议。</w:t>
      </w:r>
    </w:p>
    <w:p w14:paraId="62F405A8">
      <w:pPr>
        <w:numPr>
          <w:ilvl w:val="0"/>
          <w:numId w:val="1"/>
        </w:numPr>
        <w:spacing w:line="340" w:lineRule="exact"/>
        <w:ind w:left="-1260" w:leftChars="-600" w:right="-1375" w:rightChars="-655"/>
        <w:rPr>
          <w:rFonts w:hint="eastAsia" w:ascii="宋体" w:hAnsi="宋体"/>
          <w:color w:val="auto"/>
          <w:highlight w:val="none"/>
          <w:lang w:bidi="ar"/>
        </w:rPr>
      </w:pPr>
      <w:r>
        <w:rPr>
          <w:rFonts w:hint="eastAsia" w:ascii="宋体" w:hAnsi="宋体"/>
          <w:color w:val="auto"/>
          <w:highlight w:val="none"/>
          <w:lang w:bidi="ar"/>
        </w:rPr>
        <w:t>货款支付方式、期限及结算：1、买卖双方通过交易市场货款结算。2、</w:t>
      </w:r>
      <w:r>
        <w:rPr>
          <w:rFonts w:hint="eastAsia" w:ascii="宋体" w:hAnsi="宋体" w:eastAsia="宋体" w:cs="宋体"/>
          <w:color w:val="auto"/>
          <w:szCs w:val="21"/>
          <w:highlight w:val="none"/>
        </w:rPr>
        <w:t>买方</w:t>
      </w:r>
      <w:r>
        <w:rPr>
          <w:rFonts w:hint="eastAsia" w:ascii="宋体" w:hAnsi="宋体" w:eastAsia="宋体" w:cs="宋体"/>
          <w:color w:val="auto"/>
          <w:szCs w:val="21"/>
          <w:highlight w:val="none"/>
          <w:lang w:val="en-US" w:eastAsia="zh-CN"/>
        </w:rPr>
        <w:t>于</w:t>
      </w:r>
      <w:r>
        <w:rPr>
          <w:rFonts w:hint="eastAsia" w:ascii="宋体" w:hAnsi="宋体" w:eastAsia="宋体" w:cs="宋体"/>
          <w:color w:val="auto"/>
          <w:szCs w:val="21"/>
          <w:highlight w:val="none"/>
        </w:rPr>
        <w:t>成交后</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个工作日内（含成交当日）</w:t>
      </w:r>
      <w:r>
        <w:rPr>
          <w:rFonts w:hint="eastAsia" w:ascii="宋体" w:hAnsi="宋体" w:eastAsia="宋体" w:cs="宋体"/>
          <w:color w:val="auto"/>
          <w:szCs w:val="21"/>
          <w:highlight w:val="none"/>
          <w:lang w:bidi="ar"/>
        </w:rPr>
        <w:t>将本合同第一条所述全额货款汇至交易市场。</w:t>
      </w:r>
      <w:r>
        <w:rPr>
          <w:rFonts w:hint="eastAsia" w:ascii="宋体" w:hAnsi="宋体"/>
          <w:color w:val="auto"/>
          <w:highlight w:val="none"/>
          <w:lang w:bidi="ar"/>
        </w:rPr>
        <w:t>交易市场在收到</w:t>
      </w:r>
      <w:r>
        <w:rPr>
          <w:rFonts w:hint="eastAsia" w:ascii="宋体" w:hAnsi="宋体" w:eastAsia="宋体" w:cs="宋体"/>
          <w:color w:val="auto"/>
          <w:szCs w:val="21"/>
          <w:highlight w:val="none"/>
          <w:lang w:bidi="ar"/>
        </w:rPr>
        <w:t>买方支付的全额</w:t>
      </w:r>
      <w:r>
        <w:rPr>
          <w:rFonts w:hint="eastAsia" w:ascii="宋体" w:hAnsi="宋体"/>
          <w:color w:val="auto"/>
          <w:highlight w:val="none"/>
          <w:lang w:bidi="ar"/>
        </w:rPr>
        <w:t>货款后1个工作日内向卖方</w:t>
      </w:r>
      <w:r>
        <w:rPr>
          <w:rFonts w:hint="eastAsia" w:ascii="宋体" w:hAnsi="宋体"/>
          <w:color w:val="auto"/>
          <w:highlight w:val="none"/>
          <w:lang w:eastAsia="zh-CN" w:bidi="ar"/>
        </w:rPr>
        <w:t>支付</w:t>
      </w:r>
      <w:r>
        <w:rPr>
          <w:rFonts w:hint="eastAsia" w:ascii="宋体" w:hAnsi="宋体"/>
          <w:color w:val="auto"/>
          <w:highlight w:val="none"/>
          <w:lang w:bidi="ar"/>
        </w:rPr>
        <w:t>本合同货款的90%（</w:t>
      </w:r>
      <w:r>
        <w:rPr>
          <w:rFonts w:hint="eastAsia" w:ascii="宋体" w:hAnsi="宋体"/>
          <w:color w:val="auto"/>
          <w:highlight w:val="none"/>
          <w:u w:val="single"/>
          <w:lang w:bidi="ar"/>
        </w:rPr>
        <w:t xml:space="preserve">     </w:t>
      </w:r>
      <w:r>
        <w:rPr>
          <w:rFonts w:hint="eastAsia" w:ascii="宋体" w:hAnsi="宋体"/>
          <w:color w:val="auto"/>
          <w:highlight w:val="none"/>
          <w:lang w:bidi="ar"/>
        </w:rPr>
        <w:t>元），</w:t>
      </w:r>
      <w:bookmarkStart w:id="3" w:name="_Hlk173106145"/>
      <w:r>
        <w:rPr>
          <w:rFonts w:hint="eastAsia" w:ascii="宋体" w:hAnsi="宋体" w:eastAsia="宋体" w:cs="宋体"/>
          <w:color w:val="auto"/>
          <w:szCs w:val="21"/>
          <w:highlight w:val="none"/>
          <w:lang w:bidi="ar"/>
        </w:rPr>
        <w:t>卖方应在交易市场收到本合同货款的</w:t>
      </w:r>
      <w:bookmarkEnd w:id="3"/>
      <w:r>
        <w:rPr>
          <w:rFonts w:hint="eastAsia" w:ascii="宋体" w:hAnsi="宋体" w:eastAsia="宋体" w:cs="宋体"/>
          <w:color w:val="auto"/>
          <w:szCs w:val="21"/>
          <w:highlight w:val="none"/>
          <w:lang w:bidi="ar"/>
        </w:rPr>
        <w:t>同时为</w:t>
      </w:r>
      <w:r>
        <w:rPr>
          <w:rFonts w:hint="eastAsia" w:ascii="宋体" w:hAnsi="宋体" w:eastAsia="宋体" w:cs="宋体"/>
          <w:color w:val="auto"/>
          <w:szCs w:val="21"/>
          <w:highlight w:val="none"/>
          <w:lang w:bidi="ar"/>
        </w:rPr>
        <w:t>买</w:t>
      </w:r>
      <w:r>
        <w:rPr>
          <w:rFonts w:hint="eastAsia" w:ascii="宋体" w:hAnsi="宋体" w:eastAsia="宋体" w:cs="宋体"/>
          <w:color w:val="auto"/>
          <w:szCs w:val="21"/>
          <w:highlight w:val="none"/>
          <w:lang w:val="en-US" w:eastAsia="zh-CN" w:bidi="ar"/>
        </w:rPr>
        <w:t>方</w:t>
      </w:r>
      <w:r>
        <w:rPr>
          <w:rFonts w:hint="eastAsia" w:ascii="宋体" w:hAnsi="宋体" w:eastAsia="宋体" w:cs="宋体"/>
          <w:color w:val="auto"/>
          <w:szCs w:val="21"/>
          <w:highlight w:val="none"/>
          <w:lang w:bidi="ar"/>
        </w:rPr>
        <w:t>办理仓单过户手续</w:t>
      </w:r>
      <w:bookmarkStart w:id="4" w:name="_Hlk173107065"/>
      <w:r>
        <w:rPr>
          <w:rFonts w:hint="eastAsia" w:ascii="宋体" w:hAnsi="宋体" w:eastAsia="宋体" w:cs="宋体"/>
          <w:color w:val="auto"/>
          <w:szCs w:val="21"/>
          <w:highlight w:val="none"/>
          <w:lang w:bidi="ar"/>
        </w:rPr>
        <w:t>（包括但不限于在对应的仓单上加盖电子仓单背书转让确认章</w:t>
      </w:r>
      <w:r>
        <w:rPr>
          <w:rFonts w:hint="eastAsia" w:ascii="宋体" w:hAnsi="宋体" w:eastAsia="宋体" w:cs="宋体"/>
          <w:color w:val="auto"/>
          <w:szCs w:val="21"/>
          <w:highlight w:val="none"/>
          <w:lang w:val="en-US" w:eastAsia="zh-CN" w:bidi="ar"/>
        </w:rPr>
        <w:t>等</w:t>
      </w:r>
      <w:r>
        <w:rPr>
          <w:rFonts w:hint="eastAsia" w:ascii="宋体" w:hAnsi="宋体" w:eastAsia="宋体" w:cs="宋体"/>
          <w:color w:val="auto"/>
          <w:szCs w:val="21"/>
          <w:highlight w:val="none"/>
          <w:lang w:bidi="ar"/>
        </w:rPr>
        <w:t>）</w:t>
      </w:r>
      <w:bookmarkEnd w:id="4"/>
      <w:r>
        <w:rPr>
          <w:rFonts w:hint="eastAsia" w:ascii="宋体" w:hAnsi="宋体" w:eastAsia="宋体" w:cs="宋体"/>
          <w:color w:val="auto"/>
          <w:szCs w:val="21"/>
          <w:highlight w:val="none"/>
          <w:lang w:bidi="ar"/>
        </w:rPr>
        <w:t>。</w:t>
      </w:r>
      <w:r>
        <w:rPr>
          <w:rFonts w:hint="eastAsia" w:ascii="宋体" w:hAnsi="宋体"/>
          <w:color w:val="auto"/>
          <w:highlight w:val="none"/>
          <w:lang w:bidi="ar"/>
        </w:rPr>
        <w:t>买卖双方同意暂扣本合同货款的10%（</w:t>
      </w:r>
      <w:r>
        <w:rPr>
          <w:rFonts w:hint="eastAsia" w:ascii="宋体" w:hAnsi="宋体" w:eastAsia="宋体" w:cs="宋体"/>
          <w:color w:val="auto"/>
          <w:highlight w:val="none"/>
          <w:u w:val="single"/>
        </w:rPr>
        <w:t xml:space="preserve">     </w:t>
      </w:r>
      <w:r>
        <w:rPr>
          <w:rFonts w:hint="eastAsia" w:ascii="宋体" w:hAnsi="宋体"/>
          <w:color w:val="auto"/>
          <w:highlight w:val="none"/>
          <w:lang w:bidi="ar"/>
        </w:rPr>
        <w:t>元）作为质量重量保证金。待买方验收无异议后，卖方向买方开具增值税专用发票并</w:t>
      </w:r>
      <w:r>
        <w:rPr>
          <w:rFonts w:hint="eastAsia" w:ascii="宋体" w:hAnsi="宋体" w:eastAsia="宋体" w:cs="宋体"/>
          <w:color w:val="auto"/>
          <w:szCs w:val="21"/>
          <w:highlight w:val="none"/>
          <w:lang w:bidi="ar"/>
        </w:rPr>
        <w:t>邮寄至买方指定的地点</w:t>
      </w:r>
      <w:r>
        <w:rPr>
          <w:rFonts w:hint="eastAsia" w:ascii="宋体" w:hAnsi="宋体"/>
          <w:color w:val="auto"/>
          <w:highlight w:val="none"/>
          <w:lang w:bidi="ar"/>
        </w:rPr>
        <w:t>。买方收到增值税发票后，通知交易市场向卖方支付质量重量保证金。</w:t>
      </w:r>
    </w:p>
    <w:p w14:paraId="4689E7AE">
      <w:pPr>
        <w:spacing w:line="340" w:lineRule="exact"/>
        <w:ind w:left="-1260" w:leftChars="-600" w:right="-1375" w:rightChars="-655"/>
        <w:rPr>
          <w:rFonts w:hint="eastAsia" w:ascii="宋体" w:hAnsi="宋体"/>
          <w:color w:val="auto"/>
          <w:szCs w:val="21"/>
          <w:highlight w:val="none"/>
          <w:lang w:bidi="ar"/>
        </w:rPr>
      </w:pPr>
      <w:r>
        <w:rPr>
          <w:rFonts w:hint="eastAsia" w:ascii="宋体" w:hAnsi="宋体" w:cs="宋体"/>
          <w:b/>
          <w:color w:val="auto"/>
          <w:szCs w:val="21"/>
          <w:highlight w:val="none"/>
          <w:lang w:bidi="ar"/>
        </w:rPr>
        <w:t>第六条</w:t>
      </w:r>
      <w:r>
        <w:rPr>
          <w:rFonts w:hint="eastAsia" w:ascii="宋体" w:hAnsi="宋体" w:cs="宋体"/>
          <w:color w:val="auto"/>
          <w:szCs w:val="21"/>
          <w:highlight w:val="none"/>
          <w:lang w:bidi="ar"/>
        </w:rPr>
        <w:t xml:space="preserve"> 买卖双方应就本合同所述交易向交易市场支付手续费，</w:t>
      </w:r>
      <w:r>
        <w:rPr>
          <w:rFonts w:hint="eastAsia" w:ascii="宋体" w:hAnsi="宋体"/>
          <w:color w:val="auto"/>
          <w:szCs w:val="21"/>
          <w:highlight w:val="none"/>
          <w:lang w:bidi="ar"/>
        </w:rPr>
        <w:t>手续费的支付标准及缴纳方式由交易市场根据</w:t>
      </w:r>
      <w:r>
        <w:rPr>
          <w:rFonts w:hint="eastAsia" w:ascii="宋体" w:hAnsi="宋体" w:cs="宋体"/>
          <w:color w:val="auto"/>
          <w:szCs w:val="21"/>
          <w:highlight w:val="none"/>
          <w:lang w:bidi="ar"/>
        </w:rPr>
        <w:t>《全国棉花交易市场商品棉交易交割办法》（202</w:t>
      </w:r>
      <w:r>
        <w:rPr>
          <w:rFonts w:hint="eastAsia" w:ascii="宋体" w:hAnsi="宋体" w:cs="宋体"/>
          <w:color w:val="auto"/>
          <w:szCs w:val="21"/>
          <w:highlight w:val="none"/>
          <w:lang w:val="en-US" w:eastAsia="zh-CN" w:bidi="ar"/>
        </w:rPr>
        <w:t>6</w:t>
      </w:r>
      <w:r>
        <w:rPr>
          <w:rFonts w:hint="eastAsia" w:ascii="宋体" w:hAnsi="宋体" w:cs="宋体"/>
          <w:color w:val="auto"/>
          <w:szCs w:val="21"/>
          <w:highlight w:val="none"/>
          <w:lang w:bidi="ar"/>
        </w:rPr>
        <w:t>年版）</w:t>
      </w:r>
      <w:r>
        <w:rPr>
          <w:rFonts w:hint="eastAsia" w:ascii="宋体" w:hAnsi="宋体" w:cs="宋体"/>
          <w:color w:val="auto"/>
          <w:szCs w:val="21"/>
          <w:highlight w:val="none"/>
          <w:lang w:eastAsia="zh-CN" w:bidi="ar"/>
        </w:rPr>
        <w:t>、《关于组织竞卖专场交易的通知》</w:t>
      </w:r>
      <w:r>
        <w:rPr>
          <w:rFonts w:hint="eastAsia" w:ascii="宋体" w:hAnsi="宋体" w:cs="宋体"/>
          <w:color w:val="auto"/>
          <w:szCs w:val="21"/>
          <w:highlight w:val="none"/>
          <w:lang w:bidi="ar"/>
        </w:rPr>
        <w:t>或</w:t>
      </w:r>
      <w:r>
        <w:rPr>
          <w:rFonts w:hint="eastAsia" w:ascii="宋体" w:hAnsi="宋体" w:cs="宋体"/>
          <w:color w:val="auto"/>
          <w:szCs w:val="21"/>
          <w:highlight w:val="none"/>
          <w:lang w:val="en-US" w:eastAsia="zh-CN" w:bidi="ar"/>
        </w:rPr>
        <w:t>交易市场的相关管理办法</w:t>
      </w:r>
      <w:r>
        <w:rPr>
          <w:rFonts w:hint="eastAsia" w:ascii="宋体" w:hAnsi="宋体"/>
          <w:color w:val="auto"/>
          <w:szCs w:val="21"/>
          <w:highlight w:val="none"/>
          <w:lang w:bidi="ar"/>
        </w:rPr>
        <w:t>执行。</w:t>
      </w:r>
    </w:p>
    <w:p w14:paraId="3389DC66">
      <w:pPr>
        <w:spacing w:line="340" w:lineRule="exact"/>
        <w:ind w:left="-1260" w:leftChars="-600" w:right="-1375" w:rightChars="-655"/>
        <w:rPr>
          <w:rFonts w:hint="eastAsia" w:ascii="宋体" w:hAnsi="宋体" w:cs="宋体"/>
          <w:color w:val="auto"/>
          <w:szCs w:val="21"/>
          <w:highlight w:val="none"/>
        </w:rPr>
      </w:pPr>
      <w:r>
        <w:rPr>
          <w:rFonts w:hint="eastAsia" w:ascii="宋体" w:hAnsi="宋体"/>
          <w:b/>
          <w:color w:val="auto"/>
          <w:szCs w:val="21"/>
          <w:highlight w:val="none"/>
          <w:lang w:bidi="ar"/>
        </w:rPr>
        <w:t>第七条</w:t>
      </w:r>
      <w:r>
        <w:rPr>
          <w:rFonts w:hint="eastAsia" w:ascii="宋体" w:hAnsi="宋体"/>
          <w:color w:val="auto"/>
          <w:szCs w:val="21"/>
          <w:highlight w:val="none"/>
          <w:lang w:bidi="ar"/>
        </w:rPr>
        <w:t xml:space="preserve"> </w:t>
      </w:r>
      <w:r>
        <w:rPr>
          <w:rFonts w:hint="eastAsia" w:ascii="宋体" w:hAnsi="宋体" w:cs="宋体"/>
          <w:color w:val="auto"/>
          <w:szCs w:val="21"/>
          <w:highlight w:val="none"/>
          <w:lang w:bidi="ar"/>
        </w:rPr>
        <w:t>货款及手续费汇至交易市场账户为：</w:t>
      </w:r>
    </w:p>
    <w:p w14:paraId="6DDE9D29">
      <w:pPr>
        <w:spacing w:line="340" w:lineRule="exact"/>
        <w:ind w:left="-1260" w:leftChars="-600" w:right="-1375" w:rightChars="-655"/>
        <w:rPr>
          <w:rFonts w:hint="eastAsia" w:ascii="宋体" w:hAnsi="宋体" w:cs="宋体"/>
          <w:color w:val="auto"/>
          <w:szCs w:val="21"/>
          <w:highlight w:val="none"/>
          <w:lang w:bidi="ar"/>
        </w:rPr>
      </w:pPr>
      <w:r>
        <w:rPr>
          <w:rFonts w:hint="eastAsia" w:ascii="宋体" w:hAnsi="宋体" w:cs="宋体"/>
          <w:color w:val="auto"/>
          <w:szCs w:val="21"/>
          <w:highlight w:val="none"/>
          <w:lang w:bidi="ar"/>
        </w:rPr>
        <w:t>收款单位：北京全国棉花交易市场电子商务有限责任公司</w:t>
      </w:r>
    </w:p>
    <w:p w14:paraId="0445CD4D">
      <w:pPr>
        <w:spacing w:line="340" w:lineRule="exact"/>
        <w:ind w:left="-1260" w:leftChars="-600" w:right="-1375" w:rightChars="-655"/>
        <w:rPr>
          <w:rFonts w:hint="eastAsia" w:ascii="宋体" w:hAnsi="宋体" w:cs="宋体"/>
          <w:color w:val="auto"/>
          <w:szCs w:val="21"/>
          <w:highlight w:val="none"/>
          <w:lang w:bidi="ar"/>
        </w:rPr>
      </w:pPr>
      <w:r>
        <w:rPr>
          <w:rFonts w:hint="eastAsia" w:ascii="宋体" w:hAnsi="宋体" w:cs="宋体"/>
          <w:color w:val="auto"/>
          <w:szCs w:val="21"/>
          <w:highlight w:val="none"/>
          <w:lang w:bidi="ar"/>
        </w:rPr>
        <w:t>开户行：中国工商银行北京金融街支行</w:t>
      </w:r>
    </w:p>
    <w:p w14:paraId="4AD8F4E5">
      <w:pPr>
        <w:spacing w:line="340" w:lineRule="exact"/>
        <w:ind w:left="-1260" w:leftChars="-600" w:right="-1375" w:rightChars="-655"/>
        <w:rPr>
          <w:rFonts w:hint="eastAsia" w:ascii="宋体" w:hAnsi="宋体" w:cs="宋体"/>
          <w:color w:val="auto"/>
          <w:szCs w:val="21"/>
          <w:highlight w:val="none"/>
          <w:lang w:bidi="ar"/>
        </w:rPr>
      </w:pPr>
      <w:r>
        <w:rPr>
          <w:rFonts w:hint="eastAsia" w:ascii="宋体" w:hAnsi="宋体" w:cs="宋体"/>
          <w:color w:val="auto"/>
          <w:szCs w:val="21"/>
          <w:highlight w:val="none"/>
          <w:lang w:bidi="ar"/>
        </w:rPr>
        <w:t>账号：0200216819200063150</w:t>
      </w:r>
    </w:p>
    <w:p w14:paraId="0037C5BE">
      <w:pPr>
        <w:spacing w:line="340" w:lineRule="exact"/>
        <w:ind w:left="-1260" w:leftChars="-600" w:right="-1375" w:rightChars="-655"/>
        <w:rPr>
          <w:rFonts w:hint="eastAsia" w:ascii="宋体" w:hAnsi="宋体" w:cs="宋体"/>
          <w:b/>
          <w:bCs/>
          <w:color w:val="auto"/>
          <w:szCs w:val="21"/>
          <w:highlight w:val="none"/>
        </w:rPr>
      </w:pPr>
      <w:r>
        <w:rPr>
          <w:rFonts w:hint="eastAsia" w:ascii="宋体" w:hAnsi="宋体" w:cs="宋体"/>
          <w:b/>
          <w:bCs/>
          <w:color w:val="auto"/>
          <w:szCs w:val="21"/>
          <w:highlight w:val="none"/>
          <w:lang w:bidi="ar"/>
        </w:rPr>
        <w:t>（汇款时，请注明合同号和款项用途为“货款”）</w:t>
      </w:r>
    </w:p>
    <w:p w14:paraId="67CDF332">
      <w:pPr>
        <w:spacing w:line="340" w:lineRule="exact"/>
        <w:ind w:left="-1260" w:leftChars="-600" w:right="-1375" w:rightChars="-655"/>
        <w:rPr>
          <w:rFonts w:hint="eastAsia" w:ascii="宋体" w:hAnsi="宋体"/>
          <w:color w:val="auto"/>
          <w:szCs w:val="21"/>
          <w:highlight w:val="none"/>
          <w:lang w:bidi="ar"/>
        </w:rPr>
      </w:pPr>
      <w:r>
        <w:rPr>
          <w:rFonts w:hint="eastAsia" w:ascii="宋体" w:hAnsi="宋体"/>
          <w:b/>
          <w:color w:val="auto"/>
          <w:szCs w:val="21"/>
          <w:highlight w:val="none"/>
          <w:lang w:bidi="ar"/>
        </w:rPr>
        <w:t>第八条</w:t>
      </w:r>
      <w:r>
        <w:rPr>
          <w:rFonts w:hint="eastAsia" w:ascii="宋体" w:hAnsi="宋体"/>
          <w:color w:val="auto"/>
          <w:szCs w:val="21"/>
          <w:highlight w:val="none"/>
          <w:lang w:bidi="ar"/>
        </w:rPr>
        <w:t xml:space="preserve"> 仓单过户确认、仓储费用及其它约定：</w:t>
      </w:r>
    </w:p>
    <w:p w14:paraId="30821BE4">
      <w:pPr>
        <w:spacing w:line="340" w:lineRule="exact"/>
        <w:ind w:left="-1260" w:leftChars="-600" w:right="-1375" w:rightChars="-655"/>
        <w:rPr>
          <w:rFonts w:hint="eastAsia" w:ascii="宋体" w:hAnsi="宋体"/>
          <w:color w:val="auto"/>
          <w:szCs w:val="21"/>
          <w:highlight w:val="none"/>
          <w:lang w:bidi="ar"/>
        </w:rPr>
      </w:pPr>
      <w:r>
        <w:rPr>
          <w:rFonts w:hint="eastAsia" w:ascii="宋体" w:hAnsi="宋体"/>
          <w:color w:val="auto"/>
          <w:szCs w:val="21"/>
          <w:highlight w:val="none"/>
          <w:lang w:bidi="ar"/>
        </w:rPr>
        <w:t>（一）买卖双方同意：本合同项下的仓单通过交易市场进行仓单过户，仓单项下货物的风险责任在交易市场系统中载明的货权人变更为买方的同时转移至买方。</w:t>
      </w:r>
    </w:p>
    <w:p w14:paraId="072F9853">
      <w:pPr>
        <w:spacing w:line="340" w:lineRule="exact"/>
        <w:ind w:left="-1260" w:leftChars="-600" w:right="-1375" w:rightChars="-655"/>
        <w:rPr>
          <w:rFonts w:hint="eastAsia" w:ascii="宋体" w:hAnsi="宋体"/>
          <w:color w:val="auto"/>
          <w:szCs w:val="21"/>
          <w:highlight w:val="none"/>
          <w:lang w:bidi="ar"/>
        </w:rPr>
      </w:pPr>
      <w:r>
        <w:rPr>
          <w:rFonts w:hint="eastAsia" w:ascii="宋体" w:hAnsi="宋体"/>
          <w:color w:val="auto"/>
          <w:szCs w:val="21"/>
          <w:highlight w:val="none"/>
          <w:lang w:bidi="ar"/>
        </w:rPr>
        <w:t>（二）买卖双方同意：1、</w:t>
      </w:r>
      <w:r>
        <w:rPr>
          <w:rFonts w:hint="eastAsia" w:ascii="宋体" w:hAnsi="宋体" w:eastAsiaTheme="minorEastAsia" w:cstheme="minorBidi"/>
          <w:color w:val="auto"/>
          <w:sz w:val="21"/>
          <w:szCs w:val="21"/>
          <w:highlight w:val="none"/>
          <w:lang w:bidi="ar"/>
        </w:rPr>
        <w:t>入库费由卖方承担，出库费由买方承担。卖方承担办理货权转移前的保管费和保险费，自货权转移至买方后，保管费和保险费由买方承担</w:t>
      </w:r>
      <w:r>
        <w:rPr>
          <w:rFonts w:hint="eastAsia" w:ascii="宋体" w:hAnsi="宋体"/>
          <w:color w:val="auto"/>
          <w:szCs w:val="21"/>
          <w:highlight w:val="none"/>
          <w:lang w:bidi="ar"/>
        </w:rPr>
        <w:t>。</w:t>
      </w:r>
      <w:r>
        <w:rPr>
          <w:rFonts w:hint="eastAsia" w:ascii="宋体" w:hAnsi="宋体"/>
          <w:color w:val="auto"/>
          <w:szCs w:val="21"/>
          <w:highlight w:val="none"/>
          <w:lang w:val="en-US" w:eastAsia="zh-CN" w:bidi="ar"/>
        </w:rPr>
        <w:t>2</w:t>
      </w:r>
      <w:r>
        <w:rPr>
          <w:rFonts w:hint="eastAsia" w:ascii="宋体" w:hAnsi="宋体"/>
          <w:color w:val="auto"/>
          <w:szCs w:val="21"/>
          <w:highlight w:val="none"/>
          <w:lang w:bidi="ar"/>
        </w:rPr>
        <w:t>、卖方应保证买方依据本合同取得所有权的仓单可以顺利提取货物，因卖方未与仓库结清相关费用或其它与仓库之间的纠纷导致买方无法依据仓单及时</w:t>
      </w:r>
      <w:bookmarkStart w:id="5" w:name="_GoBack"/>
      <w:bookmarkEnd w:id="5"/>
      <w:r>
        <w:rPr>
          <w:rFonts w:hint="eastAsia" w:ascii="宋体" w:hAnsi="宋体"/>
          <w:color w:val="auto"/>
          <w:szCs w:val="21"/>
          <w:highlight w:val="none"/>
          <w:lang w:bidi="ar"/>
        </w:rPr>
        <w:t>提取货物，由此产生的全部损失由卖方承担。</w:t>
      </w:r>
    </w:p>
    <w:p w14:paraId="76A9C79D">
      <w:pPr>
        <w:spacing w:line="340" w:lineRule="exact"/>
        <w:ind w:left="-1260" w:leftChars="-600" w:right="-1375" w:rightChars="-655"/>
        <w:rPr>
          <w:rFonts w:hint="eastAsia" w:ascii="宋体" w:hAnsi="宋体"/>
          <w:color w:val="auto"/>
          <w:szCs w:val="21"/>
          <w:highlight w:val="none"/>
          <w:lang w:bidi="ar"/>
        </w:rPr>
      </w:pPr>
      <w:r>
        <w:rPr>
          <w:rFonts w:hint="eastAsia" w:ascii="宋体" w:hAnsi="宋体"/>
          <w:color w:val="auto"/>
          <w:szCs w:val="21"/>
          <w:highlight w:val="none"/>
          <w:lang w:bidi="ar"/>
        </w:rPr>
        <w:t>（三）买卖双方同意：本合同项下仓单的出疆棉花运费补贴由</w:t>
      </w:r>
      <w:r>
        <w:rPr>
          <w:rFonts w:hint="eastAsia" w:ascii="宋体" w:hAnsi="宋体" w:eastAsia="宋体" w:cs="宋体"/>
          <w:color w:val="auto"/>
          <w:highlight w:val="none"/>
          <w:u w:val="single"/>
          <w:lang w:val="en-US" w:eastAsia="zh-CN"/>
        </w:rPr>
        <w:t>买方</w:t>
      </w:r>
      <w:r>
        <w:rPr>
          <w:rFonts w:hint="eastAsia" w:ascii="宋体" w:hAnsi="宋体"/>
          <w:color w:val="auto"/>
          <w:szCs w:val="21"/>
          <w:highlight w:val="none"/>
          <w:lang w:bidi="ar"/>
        </w:rPr>
        <w:t>申请并领取。</w:t>
      </w:r>
    </w:p>
    <w:p w14:paraId="2962441E">
      <w:pPr>
        <w:spacing w:line="340" w:lineRule="exact"/>
        <w:ind w:left="-1260" w:leftChars="-600" w:right="-1375" w:rightChars="-655"/>
        <w:rPr>
          <w:rFonts w:hint="eastAsia" w:ascii="宋体" w:hAnsi="宋体"/>
          <w:color w:val="auto"/>
          <w:highlight w:val="none"/>
          <w:lang w:bidi="ar"/>
        </w:rPr>
      </w:pPr>
      <w:r>
        <w:rPr>
          <w:rFonts w:hint="eastAsia" w:ascii="宋体" w:hAnsi="宋体"/>
          <w:b/>
          <w:color w:val="auto"/>
          <w:highlight w:val="none"/>
          <w:lang w:bidi="ar"/>
        </w:rPr>
        <w:t>第九条</w:t>
      </w:r>
      <w:r>
        <w:rPr>
          <w:rFonts w:hint="eastAsia" w:ascii="宋体" w:hAnsi="宋体"/>
          <w:color w:val="auto"/>
          <w:highlight w:val="none"/>
          <w:lang w:bidi="ar"/>
        </w:rPr>
        <w:t xml:space="preserve"> 本合同生效、解除及违约处理：</w:t>
      </w:r>
    </w:p>
    <w:p w14:paraId="6863F7FE">
      <w:pPr>
        <w:spacing w:line="340" w:lineRule="exact"/>
        <w:ind w:left="-1260" w:leftChars="-600" w:right="-1375" w:rightChars="-655"/>
        <w:rPr>
          <w:rFonts w:hint="eastAsia" w:ascii="宋体" w:hAnsi="宋体"/>
          <w:color w:val="auto"/>
          <w:highlight w:val="none"/>
          <w:lang w:bidi="ar"/>
        </w:rPr>
      </w:pPr>
      <w:r>
        <w:rPr>
          <w:rFonts w:hint="eastAsia" w:ascii="宋体" w:hAnsi="宋体"/>
          <w:color w:val="auto"/>
          <w:highlight w:val="none"/>
          <w:lang w:bidi="ar"/>
        </w:rPr>
        <w:t>（一）本合同生效：</w:t>
      </w:r>
      <w:r>
        <w:rPr>
          <w:rFonts w:hint="eastAsia" w:ascii="宋体" w:hAnsi="宋体"/>
          <w:color w:val="auto"/>
          <w:highlight w:val="none"/>
          <w:lang w:bidi="ar"/>
        </w:rPr>
        <w:t>买卖双方</w:t>
      </w:r>
      <w:r>
        <w:rPr>
          <w:rFonts w:hint="eastAsia" w:ascii="宋体" w:hAnsi="宋体"/>
          <w:color w:val="auto"/>
          <w:highlight w:val="none"/>
          <w:lang w:eastAsia="zh-CN" w:bidi="ar"/>
        </w:rPr>
        <w:t>应于</w:t>
      </w:r>
      <w:r>
        <w:rPr>
          <w:rFonts w:hint="eastAsia" w:ascii="宋体" w:hAnsi="宋体"/>
          <w:color w:val="auto"/>
          <w:highlight w:val="none"/>
          <w:lang w:bidi="ar"/>
        </w:rPr>
        <w:t>通过</w:t>
      </w:r>
      <w:r>
        <w:rPr>
          <w:rFonts w:hint="eastAsia" w:ascii="宋体" w:hAnsi="宋体" w:eastAsia="宋体" w:cs="宋体"/>
          <w:color w:val="auto"/>
          <w:spacing w:val="-6"/>
          <w:highlight w:val="none"/>
        </w:rPr>
        <w:t>交易市场</w:t>
      </w:r>
      <w:r>
        <w:rPr>
          <w:rFonts w:hint="eastAsia" w:ascii="宋体" w:hAnsi="宋体"/>
          <w:color w:val="auto"/>
          <w:highlight w:val="none"/>
          <w:lang w:bidi="ar"/>
        </w:rPr>
        <w:t>系统成交后</w:t>
      </w:r>
      <w:r>
        <w:rPr>
          <w:rFonts w:hint="eastAsia" w:ascii="宋体" w:hAnsi="宋体"/>
          <w:color w:val="auto"/>
          <w:highlight w:val="none"/>
          <w:lang w:val="en-US" w:eastAsia="zh-CN" w:bidi="ar"/>
        </w:rPr>
        <w:t>1个工作日内在本合同上加盖电子签章，</w:t>
      </w:r>
      <w:r>
        <w:rPr>
          <w:rFonts w:hint="eastAsia" w:ascii="宋体" w:hAnsi="宋体"/>
          <w:color w:val="auto"/>
          <w:highlight w:val="none"/>
          <w:lang w:bidi="ar"/>
        </w:rPr>
        <w:t>本合同</w:t>
      </w:r>
      <w:r>
        <w:rPr>
          <w:rFonts w:hint="eastAsia" w:ascii="宋体" w:hAnsi="宋体"/>
          <w:color w:val="auto"/>
          <w:highlight w:val="none"/>
          <w:lang w:eastAsia="zh-CN" w:bidi="ar"/>
        </w:rPr>
        <w:t>自买卖双方</w:t>
      </w:r>
      <w:r>
        <w:rPr>
          <w:rFonts w:hint="eastAsia" w:ascii="宋体" w:hAnsi="宋体"/>
          <w:color w:val="auto"/>
          <w:highlight w:val="none"/>
          <w:lang w:val="en-US" w:eastAsia="zh-CN" w:bidi="ar"/>
        </w:rPr>
        <w:t>通过</w:t>
      </w:r>
      <w:r>
        <w:rPr>
          <w:rFonts w:hint="eastAsia" w:ascii="宋体" w:hAnsi="宋体"/>
          <w:color w:val="auto"/>
          <w:highlight w:val="none"/>
          <w:lang w:eastAsia="zh-CN" w:bidi="ar"/>
        </w:rPr>
        <w:t>交易市场系统成交</w:t>
      </w:r>
      <w:r>
        <w:rPr>
          <w:rFonts w:hint="eastAsia" w:ascii="宋体" w:hAnsi="宋体"/>
          <w:color w:val="auto"/>
          <w:highlight w:val="none"/>
          <w:lang w:val="en-US" w:eastAsia="zh-CN" w:bidi="ar"/>
        </w:rPr>
        <w:t>时</w:t>
      </w:r>
      <w:r>
        <w:rPr>
          <w:rFonts w:hint="eastAsia" w:ascii="宋体" w:hAnsi="宋体"/>
          <w:color w:val="auto"/>
          <w:highlight w:val="none"/>
          <w:lang w:bidi="ar"/>
        </w:rPr>
        <w:t>生效。</w:t>
      </w:r>
      <w:r>
        <w:rPr>
          <w:rFonts w:hint="eastAsia" w:ascii="宋体" w:hAnsi="宋体"/>
          <w:color w:val="auto"/>
          <w:highlight w:val="none"/>
          <w:lang w:bidi="ar"/>
        </w:rPr>
        <w:t>交易市场应在本合同生效后2个工作日内对本合同内容进行确认，确认无误后加盖见证章。</w:t>
      </w:r>
    </w:p>
    <w:p w14:paraId="1F89E2FF">
      <w:pPr>
        <w:spacing w:line="340" w:lineRule="exact"/>
        <w:ind w:left="-1260" w:leftChars="-600" w:right="-1375" w:rightChars="-655"/>
        <w:rPr>
          <w:rFonts w:hint="eastAsia" w:ascii="宋体" w:hAnsi="宋体"/>
          <w:color w:val="auto"/>
          <w:highlight w:val="none"/>
          <w:lang w:bidi="ar"/>
        </w:rPr>
      </w:pPr>
      <w:r>
        <w:rPr>
          <w:rFonts w:hint="eastAsia" w:ascii="宋体" w:hAnsi="宋体"/>
          <w:color w:val="auto"/>
          <w:highlight w:val="none"/>
          <w:lang w:bidi="ar"/>
        </w:rPr>
        <w:t>（二）本合同解除：1、在本合同生效后，解除本合同需经买卖双方协商一致同意。2、买方未依据本合同约定支付全额货款，则卖方自买方逾期之日起有权单方面解除本合同。3、若本合同项下的仓单已纳入银行委托交易市场监管范围，在买方按照本合同约定支付货款后，如出现银行部分或全部无法解除监管的情况，即视为卖方违约，买方有权要求交易市场退还买方已支付的对应无法解除监管部分仓单的货款。</w:t>
      </w:r>
    </w:p>
    <w:p w14:paraId="4CB344FD">
      <w:pPr>
        <w:spacing w:line="340" w:lineRule="exact"/>
        <w:ind w:left="-1260" w:leftChars="-600" w:right="-1375" w:rightChars="-655"/>
        <w:rPr>
          <w:rFonts w:hint="eastAsia" w:ascii="宋体" w:hAnsi="宋体" w:cs="宋体"/>
          <w:color w:val="auto"/>
          <w:szCs w:val="21"/>
          <w:highlight w:val="none"/>
          <w:lang w:bidi="ar"/>
        </w:rPr>
      </w:pPr>
      <w:r>
        <w:rPr>
          <w:rFonts w:hint="eastAsia" w:ascii="宋体" w:hAnsi="宋体" w:cs="宋体"/>
          <w:b/>
          <w:bCs/>
          <w:color w:val="auto"/>
          <w:szCs w:val="21"/>
          <w:highlight w:val="none"/>
          <w:lang w:bidi="ar"/>
        </w:rPr>
        <w:t>第十条</w:t>
      </w:r>
      <w:r>
        <w:rPr>
          <w:rFonts w:hint="eastAsia" w:ascii="宋体" w:hAnsi="宋体" w:cs="宋体"/>
          <w:color w:val="auto"/>
          <w:szCs w:val="21"/>
          <w:highlight w:val="none"/>
          <w:lang w:bidi="ar"/>
        </w:rPr>
        <w:t xml:space="preserve"> 本合同其它未列事项</w:t>
      </w:r>
      <w:r>
        <w:rPr>
          <w:rFonts w:hint="eastAsia" w:ascii="宋体" w:hAnsi="宋体" w:cs="宋体"/>
          <w:color w:val="auto"/>
          <w:szCs w:val="21"/>
          <w:highlight w:val="none"/>
          <w:lang w:eastAsia="zh-CN" w:bidi="ar"/>
        </w:rPr>
        <w:t>按照《中华人民共和国</w:t>
      </w:r>
      <w:r>
        <w:rPr>
          <w:rFonts w:hint="eastAsia"/>
          <w:color w:val="auto"/>
          <w:szCs w:val="21"/>
          <w:highlight w:val="none"/>
          <w:lang w:bidi="ar"/>
        </w:rPr>
        <w:t>民法典</w:t>
      </w:r>
      <w:r>
        <w:rPr>
          <w:rFonts w:hint="eastAsia" w:ascii="宋体" w:hAnsi="宋体" w:cs="宋体"/>
          <w:color w:val="auto"/>
          <w:szCs w:val="21"/>
          <w:highlight w:val="none"/>
          <w:lang w:bidi="ar"/>
        </w:rPr>
        <w:t>》、</w:t>
      </w:r>
      <w:r>
        <w:rPr>
          <w:rFonts w:hint="eastAsia" w:ascii="宋体" w:hAnsi="宋体" w:eastAsia="宋体" w:cs="宋体"/>
          <w:color w:val="auto"/>
          <w:szCs w:val="21"/>
          <w:highlight w:val="none"/>
          <w:lang w:bidi="ar"/>
        </w:rPr>
        <w:t>交易市场</w:t>
      </w:r>
      <w:r>
        <w:rPr>
          <w:rFonts w:hint="eastAsia" w:ascii="宋体" w:hAnsi="宋体" w:eastAsia="宋体" w:cs="宋体"/>
          <w:color w:val="auto"/>
          <w:szCs w:val="21"/>
          <w:highlight w:val="none"/>
          <w:lang w:val="en-US" w:eastAsia="zh-CN" w:bidi="ar"/>
        </w:rPr>
        <w:t>现行有效</w:t>
      </w:r>
      <w:r>
        <w:rPr>
          <w:rFonts w:hint="eastAsia" w:ascii="宋体" w:hAnsi="宋体" w:eastAsia="宋体" w:cs="宋体"/>
          <w:color w:val="auto"/>
          <w:szCs w:val="21"/>
          <w:highlight w:val="none"/>
          <w:lang w:bidi="ar"/>
        </w:rPr>
        <w:t>的</w:t>
      </w:r>
      <w:r>
        <w:rPr>
          <w:rFonts w:hint="eastAsia" w:ascii="宋体" w:hAnsi="宋体" w:cs="宋体"/>
          <w:color w:val="auto"/>
          <w:szCs w:val="21"/>
          <w:highlight w:val="none"/>
          <w:lang w:bidi="ar"/>
        </w:rPr>
        <w:t>《全国棉花交易市场商品棉交易交割办法》及交易市场在中国棉花信息网发布的</w:t>
      </w:r>
      <w:r>
        <w:rPr>
          <w:rFonts w:hint="eastAsia" w:ascii="宋体" w:hAnsi="宋体" w:eastAsia="宋体" w:cs="宋体"/>
          <w:color w:val="auto"/>
          <w:spacing w:val="-6"/>
          <w:highlight w:val="none"/>
        </w:rPr>
        <w:t>相</w:t>
      </w:r>
      <w:r>
        <w:rPr>
          <w:rFonts w:hint="eastAsia" w:ascii="宋体" w:hAnsi="宋体" w:cs="宋体"/>
          <w:color w:val="auto"/>
          <w:szCs w:val="21"/>
          <w:highlight w:val="none"/>
          <w:lang w:bidi="ar"/>
        </w:rPr>
        <w:t>关公告有关规定执行。</w:t>
      </w:r>
      <w:r>
        <w:rPr>
          <w:rFonts w:hint="eastAsia" w:ascii="宋体" w:hAnsi="宋体" w:cs="宋体"/>
          <w:color w:val="auto"/>
          <w:szCs w:val="21"/>
          <w:highlight w:val="none"/>
          <w:lang w:bidi="ar"/>
        </w:rPr>
        <w:t>本</w:t>
      </w:r>
      <w:r>
        <w:rPr>
          <w:rFonts w:hint="eastAsia" w:ascii="宋体" w:hAnsi="宋体"/>
          <w:color w:val="auto"/>
          <w:szCs w:val="21"/>
          <w:highlight w:val="none"/>
          <w:lang w:bidi="ar"/>
        </w:rPr>
        <w:t>合同履行中发生争议，由买卖双方协商解决；协商不成，可由交易市场协调解决，但交易市场不负有必须协调解决纠纷的责任；协商或调解不成，任一方均应向原告住所地有管辖权的人民法院提起诉讼。</w:t>
      </w:r>
    </w:p>
    <w:p w14:paraId="33730184">
      <w:pPr>
        <w:spacing w:line="340" w:lineRule="exact"/>
        <w:ind w:left="-1260" w:leftChars="-600" w:right="-1375" w:rightChars="-655"/>
        <w:rPr>
          <w:rFonts w:hint="eastAsia" w:ascii="宋体" w:hAnsi="宋体"/>
          <w:color w:val="auto"/>
          <w:szCs w:val="21"/>
          <w:highlight w:val="none"/>
          <w:lang w:bidi="ar"/>
        </w:rPr>
      </w:pPr>
      <w:r>
        <w:rPr>
          <w:rFonts w:hint="eastAsia" w:ascii="宋体" w:hAnsi="宋体" w:cs="宋体"/>
          <w:b/>
          <w:bCs/>
          <w:color w:val="auto"/>
          <w:szCs w:val="21"/>
          <w:highlight w:val="none"/>
          <w:lang w:bidi="ar"/>
        </w:rPr>
        <w:t>第十一条</w:t>
      </w:r>
      <w:r>
        <w:rPr>
          <w:rFonts w:hint="eastAsia" w:ascii="宋体" w:hAnsi="宋体" w:cs="宋体"/>
          <w:color w:val="auto"/>
          <w:szCs w:val="21"/>
          <w:highlight w:val="none"/>
          <w:lang w:bidi="ar"/>
        </w:rPr>
        <w:t xml:space="preserve"> </w:t>
      </w:r>
      <w:r>
        <w:rPr>
          <w:rFonts w:hint="eastAsia"/>
          <w:color w:val="auto"/>
          <w:szCs w:val="21"/>
          <w:highlight w:val="none"/>
          <w:lang w:bidi="ar"/>
        </w:rPr>
        <w:t>本合同一式三份，由交易市场给出唯一编号，并加盖交易市场见证专用章，卖方、买方和交易市场各一份。</w:t>
      </w:r>
      <w:r>
        <w:rPr>
          <w:rFonts w:hint="eastAsia" w:ascii="宋体" w:hAnsi="宋体"/>
          <w:color w:val="auto"/>
          <w:szCs w:val="21"/>
          <w:highlight w:val="none"/>
          <w:lang w:bidi="ar"/>
        </w:rPr>
        <w:t>本合同</w:t>
      </w:r>
      <w:r>
        <w:rPr>
          <w:rFonts w:hint="eastAsia" w:ascii="宋体" w:hAnsi="宋体"/>
          <w:color w:val="auto"/>
          <w:szCs w:val="21"/>
          <w:highlight w:val="none"/>
          <w:lang w:val="en-US" w:eastAsia="zh-CN" w:bidi="ar"/>
        </w:rPr>
        <w:t>生效后的</w:t>
      </w:r>
      <w:r>
        <w:rPr>
          <w:rFonts w:hint="eastAsia" w:ascii="宋体" w:hAnsi="宋体"/>
          <w:color w:val="auto"/>
          <w:szCs w:val="21"/>
          <w:highlight w:val="none"/>
          <w:lang w:bidi="ar"/>
        </w:rPr>
        <w:t>传真件、扫描件与原件具有同等法律效力。</w:t>
      </w:r>
    </w:p>
    <w:p w14:paraId="5E0DEBE9">
      <w:pPr>
        <w:spacing w:line="340" w:lineRule="exact"/>
        <w:ind w:left="-1260" w:leftChars="-600" w:right="-1375" w:rightChars="-655"/>
        <w:rPr>
          <w:color w:val="auto"/>
          <w:highlight w:val="none"/>
        </w:rPr>
      </w:pPr>
      <w:r>
        <w:rPr>
          <w:rFonts w:hint="eastAsia" w:ascii="宋体" w:hAnsi="宋体" w:cs="宋体"/>
          <w:color w:val="auto"/>
          <w:szCs w:val="21"/>
          <w:highlight w:val="none"/>
          <w:lang w:bidi="ar"/>
        </w:rPr>
        <w:t>此处为合同结尾，以下再无内容。</w:t>
      </w:r>
    </w:p>
    <w:p w14:paraId="57202402">
      <w:pPr>
        <w:rPr>
          <w:color w:val="auto"/>
          <w:sz w:val="28"/>
          <w:szCs w:val="28"/>
          <w:highlight w:val="none"/>
        </w:rPr>
      </w:pPr>
    </w:p>
    <w:p w14:paraId="07123CD1">
      <w:pPr>
        <w:rPr>
          <w:color w:val="auto"/>
          <w:sz w:val="28"/>
          <w:szCs w:val="28"/>
          <w:highlight w:val="none"/>
        </w:rPr>
      </w:pPr>
    </w:p>
    <w:p w14:paraId="61B3DA77">
      <w:pPr>
        <w:rPr>
          <w:color w:val="auto"/>
          <w:sz w:val="28"/>
          <w:szCs w:val="28"/>
          <w:highlight w:val="none"/>
        </w:rPr>
      </w:pPr>
    </w:p>
    <w:p w14:paraId="6839A146">
      <w:pPr>
        <w:rPr>
          <w:color w:val="auto"/>
          <w:sz w:val="28"/>
          <w:szCs w:val="28"/>
          <w:highlight w:val="none"/>
        </w:rPr>
      </w:pPr>
    </w:p>
    <w:sectPr>
      <w:headerReference r:id="rId3"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C6D5A">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D689F">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9AA856"/>
    <w:multiLevelType w:val="singleLevel"/>
    <w:tmpl w:val="C39AA856"/>
    <w:lvl w:ilvl="0" w:tentative="0">
      <w:start w:val="2"/>
      <w:numFmt w:val="chineseCounting"/>
      <w:suff w:val="space"/>
      <w:lvlText w:val="第%1条"/>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trackedChanges"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2YzU5NTMwNWNhODIyMzAzNjJlZGY5NzY4ZTIwZGYifQ=="/>
  </w:docVars>
  <w:rsids>
    <w:rsidRoot w:val="00883B80"/>
    <w:rsid w:val="00011AD1"/>
    <w:rsid w:val="00011FAC"/>
    <w:rsid w:val="00036400"/>
    <w:rsid w:val="00056378"/>
    <w:rsid w:val="00066BA3"/>
    <w:rsid w:val="0008602B"/>
    <w:rsid w:val="00093220"/>
    <w:rsid w:val="000A5CBA"/>
    <w:rsid w:val="000B2E47"/>
    <w:rsid w:val="000B410C"/>
    <w:rsid w:val="000B7620"/>
    <w:rsid w:val="000C4C72"/>
    <w:rsid w:val="000D3732"/>
    <w:rsid w:val="000E0985"/>
    <w:rsid w:val="000E7450"/>
    <w:rsid w:val="001033B9"/>
    <w:rsid w:val="0010425F"/>
    <w:rsid w:val="001113BD"/>
    <w:rsid w:val="001222DB"/>
    <w:rsid w:val="001349E1"/>
    <w:rsid w:val="00134F46"/>
    <w:rsid w:val="001535C5"/>
    <w:rsid w:val="00163BAE"/>
    <w:rsid w:val="00173F4B"/>
    <w:rsid w:val="00177DCD"/>
    <w:rsid w:val="00187692"/>
    <w:rsid w:val="0019040D"/>
    <w:rsid w:val="001A1787"/>
    <w:rsid w:val="001A1C7D"/>
    <w:rsid w:val="001C71ED"/>
    <w:rsid w:val="001D0129"/>
    <w:rsid w:val="001E4EA4"/>
    <w:rsid w:val="001E56AA"/>
    <w:rsid w:val="001E7EA9"/>
    <w:rsid w:val="001F1039"/>
    <w:rsid w:val="002159AF"/>
    <w:rsid w:val="00215CB9"/>
    <w:rsid w:val="00216303"/>
    <w:rsid w:val="00224DAD"/>
    <w:rsid w:val="002321D6"/>
    <w:rsid w:val="0024791D"/>
    <w:rsid w:val="00247C72"/>
    <w:rsid w:val="002577D9"/>
    <w:rsid w:val="00267A91"/>
    <w:rsid w:val="00270D1F"/>
    <w:rsid w:val="00271470"/>
    <w:rsid w:val="00297A44"/>
    <w:rsid w:val="002A04F4"/>
    <w:rsid w:val="002B3D79"/>
    <w:rsid w:val="002C4FC4"/>
    <w:rsid w:val="00303C92"/>
    <w:rsid w:val="003048B4"/>
    <w:rsid w:val="0031648B"/>
    <w:rsid w:val="00331013"/>
    <w:rsid w:val="0035093A"/>
    <w:rsid w:val="00350C5E"/>
    <w:rsid w:val="003575F3"/>
    <w:rsid w:val="00367EEE"/>
    <w:rsid w:val="0037039D"/>
    <w:rsid w:val="003716F1"/>
    <w:rsid w:val="00372D69"/>
    <w:rsid w:val="0038506D"/>
    <w:rsid w:val="00385186"/>
    <w:rsid w:val="00385296"/>
    <w:rsid w:val="00394468"/>
    <w:rsid w:val="003A6D6F"/>
    <w:rsid w:val="003B4947"/>
    <w:rsid w:val="003C03D7"/>
    <w:rsid w:val="003C33A4"/>
    <w:rsid w:val="003C3FC5"/>
    <w:rsid w:val="003C538F"/>
    <w:rsid w:val="003D1371"/>
    <w:rsid w:val="003D6F58"/>
    <w:rsid w:val="004024E5"/>
    <w:rsid w:val="00420DF7"/>
    <w:rsid w:val="00434354"/>
    <w:rsid w:val="00435499"/>
    <w:rsid w:val="00435952"/>
    <w:rsid w:val="00464A7A"/>
    <w:rsid w:val="004768A4"/>
    <w:rsid w:val="00497EC4"/>
    <w:rsid w:val="004A7593"/>
    <w:rsid w:val="004B068C"/>
    <w:rsid w:val="004B3764"/>
    <w:rsid w:val="004B5306"/>
    <w:rsid w:val="004C6B52"/>
    <w:rsid w:val="004F1A8E"/>
    <w:rsid w:val="005036C8"/>
    <w:rsid w:val="00506FA3"/>
    <w:rsid w:val="005110E9"/>
    <w:rsid w:val="005147FC"/>
    <w:rsid w:val="00514B3D"/>
    <w:rsid w:val="00527926"/>
    <w:rsid w:val="0053352D"/>
    <w:rsid w:val="00533EE7"/>
    <w:rsid w:val="0053436B"/>
    <w:rsid w:val="00542AE2"/>
    <w:rsid w:val="00550DB0"/>
    <w:rsid w:val="00557B3D"/>
    <w:rsid w:val="00561E7A"/>
    <w:rsid w:val="00591187"/>
    <w:rsid w:val="005D5B78"/>
    <w:rsid w:val="006029FC"/>
    <w:rsid w:val="00605BC0"/>
    <w:rsid w:val="00606274"/>
    <w:rsid w:val="00612C48"/>
    <w:rsid w:val="00615927"/>
    <w:rsid w:val="006235D2"/>
    <w:rsid w:val="00630D4A"/>
    <w:rsid w:val="006325DA"/>
    <w:rsid w:val="006361FF"/>
    <w:rsid w:val="00646278"/>
    <w:rsid w:val="00675F48"/>
    <w:rsid w:val="00682239"/>
    <w:rsid w:val="00692688"/>
    <w:rsid w:val="00695834"/>
    <w:rsid w:val="006979E2"/>
    <w:rsid w:val="006A34E5"/>
    <w:rsid w:val="006B5FD6"/>
    <w:rsid w:val="006D1A61"/>
    <w:rsid w:val="006E5A0E"/>
    <w:rsid w:val="00700145"/>
    <w:rsid w:val="00700A11"/>
    <w:rsid w:val="007112B7"/>
    <w:rsid w:val="00716176"/>
    <w:rsid w:val="00760190"/>
    <w:rsid w:val="00781578"/>
    <w:rsid w:val="00790218"/>
    <w:rsid w:val="00792AF8"/>
    <w:rsid w:val="00797497"/>
    <w:rsid w:val="007A3C08"/>
    <w:rsid w:val="007A3F69"/>
    <w:rsid w:val="007B4F8E"/>
    <w:rsid w:val="007C1F25"/>
    <w:rsid w:val="007D1350"/>
    <w:rsid w:val="007F1201"/>
    <w:rsid w:val="007F770C"/>
    <w:rsid w:val="00800654"/>
    <w:rsid w:val="008332F0"/>
    <w:rsid w:val="00842DCA"/>
    <w:rsid w:val="00854821"/>
    <w:rsid w:val="00875092"/>
    <w:rsid w:val="00883B80"/>
    <w:rsid w:val="00891002"/>
    <w:rsid w:val="00891083"/>
    <w:rsid w:val="0089136B"/>
    <w:rsid w:val="008A21D6"/>
    <w:rsid w:val="008A27BF"/>
    <w:rsid w:val="008C2B6B"/>
    <w:rsid w:val="008D39A5"/>
    <w:rsid w:val="008D6B3B"/>
    <w:rsid w:val="008D6F8D"/>
    <w:rsid w:val="008E00C9"/>
    <w:rsid w:val="008E3794"/>
    <w:rsid w:val="0090318E"/>
    <w:rsid w:val="009228DF"/>
    <w:rsid w:val="009528D6"/>
    <w:rsid w:val="0095670A"/>
    <w:rsid w:val="00987B32"/>
    <w:rsid w:val="009910B2"/>
    <w:rsid w:val="00994F7D"/>
    <w:rsid w:val="009B5A2E"/>
    <w:rsid w:val="009B667B"/>
    <w:rsid w:val="009D1939"/>
    <w:rsid w:val="009D1E1F"/>
    <w:rsid w:val="009D23F2"/>
    <w:rsid w:val="009D2E18"/>
    <w:rsid w:val="009D4905"/>
    <w:rsid w:val="009D715D"/>
    <w:rsid w:val="009E5D37"/>
    <w:rsid w:val="00A12597"/>
    <w:rsid w:val="00A24C7D"/>
    <w:rsid w:val="00A32028"/>
    <w:rsid w:val="00A362EF"/>
    <w:rsid w:val="00A41237"/>
    <w:rsid w:val="00A51F86"/>
    <w:rsid w:val="00A60DC7"/>
    <w:rsid w:val="00A6124A"/>
    <w:rsid w:val="00A6347E"/>
    <w:rsid w:val="00A65FA9"/>
    <w:rsid w:val="00A71E95"/>
    <w:rsid w:val="00A7295A"/>
    <w:rsid w:val="00A81E29"/>
    <w:rsid w:val="00A8351D"/>
    <w:rsid w:val="00A83CA9"/>
    <w:rsid w:val="00A86276"/>
    <w:rsid w:val="00A9389D"/>
    <w:rsid w:val="00AA7162"/>
    <w:rsid w:val="00AB11CA"/>
    <w:rsid w:val="00AB1229"/>
    <w:rsid w:val="00AB28CA"/>
    <w:rsid w:val="00AE3B71"/>
    <w:rsid w:val="00B121AA"/>
    <w:rsid w:val="00B22729"/>
    <w:rsid w:val="00B43E5E"/>
    <w:rsid w:val="00B53180"/>
    <w:rsid w:val="00B53F8B"/>
    <w:rsid w:val="00B54654"/>
    <w:rsid w:val="00B74B3B"/>
    <w:rsid w:val="00B7535D"/>
    <w:rsid w:val="00B77C35"/>
    <w:rsid w:val="00B833ED"/>
    <w:rsid w:val="00B8519F"/>
    <w:rsid w:val="00B91DDA"/>
    <w:rsid w:val="00B95762"/>
    <w:rsid w:val="00BB174D"/>
    <w:rsid w:val="00BB76DA"/>
    <w:rsid w:val="00BB77B8"/>
    <w:rsid w:val="00BC4BC7"/>
    <w:rsid w:val="00BC51FA"/>
    <w:rsid w:val="00BD3C11"/>
    <w:rsid w:val="00C06AB0"/>
    <w:rsid w:val="00C0729A"/>
    <w:rsid w:val="00C355AD"/>
    <w:rsid w:val="00C428BF"/>
    <w:rsid w:val="00C51801"/>
    <w:rsid w:val="00C56652"/>
    <w:rsid w:val="00C621A8"/>
    <w:rsid w:val="00C77BB1"/>
    <w:rsid w:val="00C93932"/>
    <w:rsid w:val="00C96F14"/>
    <w:rsid w:val="00CC4761"/>
    <w:rsid w:val="00CE1838"/>
    <w:rsid w:val="00CE7F35"/>
    <w:rsid w:val="00D01671"/>
    <w:rsid w:val="00D3423C"/>
    <w:rsid w:val="00D6251D"/>
    <w:rsid w:val="00D66A33"/>
    <w:rsid w:val="00D67166"/>
    <w:rsid w:val="00D825CC"/>
    <w:rsid w:val="00D84147"/>
    <w:rsid w:val="00D85C32"/>
    <w:rsid w:val="00D865A6"/>
    <w:rsid w:val="00DE053F"/>
    <w:rsid w:val="00E30E58"/>
    <w:rsid w:val="00E354F5"/>
    <w:rsid w:val="00E411FA"/>
    <w:rsid w:val="00E56366"/>
    <w:rsid w:val="00E65DF5"/>
    <w:rsid w:val="00E66429"/>
    <w:rsid w:val="00E81387"/>
    <w:rsid w:val="00E843A8"/>
    <w:rsid w:val="00E9202D"/>
    <w:rsid w:val="00E94AB3"/>
    <w:rsid w:val="00EB5D3B"/>
    <w:rsid w:val="00EB786E"/>
    <w:rsid w:val="00ED4B1F"/>
    <w:rsid w:val="00EE1BF2"/>
    <w:rsid w:val="00EF33FE"/>
    <w:rsid w:val="00EF773D"/>
    <w:rsid w:val="00F0268A"/>
    <w:rsid w:val="00F24C14"/>
    <w:rsid w:val="00F32210"/>
    <w:rsid w:val="00F34F97"/>
    <w:rsid w:val="00F41034"/>
    <w:rsid w:val="00F6225B"/>
    <w:rsid w:val="00F76060"/>
    <w:rsid w:val="00F97ED0"/>
    <w:rsid w:val="00F97F84"/>
    <w:rsid w:val="00FB40C8"/>
    <w:rsid w:val="00FC3D08"/>
    <w:rsid w:val="00FD2910"/>
    <w:rsid w:val="00FE3E06"/>
    <w:rsid w:val="00FE3FEA"/>
    <w:rsid w:val="020114B1"/>
    <w:rsid w:val="05D90BCF"/>
    <w:rsid w:val="063262D5"/>
    <w:rsid w:val="064A387B"/>
    <w:rsid w:val="08B74E41"/>
    <w:rsid w:val="092E2FE0"/>
    <w:rsid w:val="09306D58"/>
    <w:rsid w:val="0D640264"/>
    <w:rsid w:val="0DA9532B"/>
    <w:rsid w:val="0F783207"/>
    <w:rsid w:val="0FA22032"/>
    <w:rsid w:val="112A7F4C"/>
    <w:rsid w:val="1166730E"/>
    <w:rsid w:val="11C40985"/>
    <w:rsid w:val="13574155"/>
    <w:rsid w:val="13EA635D"/>
    <w:rsid w:val="14691370"/>
    <w:rsid w:val="14C507B0"/>
    <w:rsid w:val="15883A78"/>
    <w:rsid w:val="15D373E9"/>
    <w:rsid w:val="179D29B2"/>
    <w:rsid w:val="181B6E25"/>
    <w:rsid w:val="197902A7"/>
    <w:rsid w:val="1AF75928"/>
    <w:rsid w:val="1B3E4766"/>
    <w:rsid w:val="1C200EAE"/>
    <w:rsid w:val="1C6E44FF"/>
    <w:rsid w:val="1C962F1E"/>
    <w:rsid w:val="1D575FAE"/>
    <w:rsid w:val="1DE80A9A"/>
    <w:rsid w:val="1DF40139"/>
    <w:rsid w:val="1E106221"/>
    <w:rsid w:val="1F3328F5"/>
    <w:rsid w:val="20D67642"/>
    <w:rsid w:val="23B75C54"/>
    <w:rsid w:val="24573344"/>
    <w:rsid w:val="251B0465"/>
    <w:rsid w:val="26151358"/>
    <w:rsid w:val="26B4291F"/>
    <w:rsid w:val="297242B0"/>
    <w:rsid w:val="2A742AF1"/>
    <w:rsid w:val="2B485D2C"/>
    <w:rsid w:val="2CD47877"/>
    <w:rsid w:val="2D894DC7"/>
    <w:rsid w:val="2DC340DF"/>
    <w:rsid w:val="2E1168A9"/>
    <w:rsid w:val="2E564F82"/>
    <w:rsid w:val="30371E51"/>
    <w:rsid w:val="30E12562"/>
    <w:rsid w:val="31425CD0"/>
    <w:rsid w:val="31AA329C"/>
    <w:rsid w:val="322A1CE7"/>
    <w:rsid w:val="34F12F90"/>
    <w:rsid w:val="35610116"/>
    <w:rsid w:val="3587759F"/>
    <w:rsid w:val="375C6DE7"/>
    <w:rsid w:val="37702892"/>
    <w:rsid w:val="37BA1D5F"/>
    <w:rsid w:val="37D022AC"/>
    <w:rsid w:val="38883C0B"/>
    <w:rsid w:val="39A758B8"/>
    <w:rsid w:val="39B21699"/>
    <w:rsid w:val="3B535C06"/>
    <w:rsid w:val="3BB014AF"/>
    <w:rsid w:val="3CA8662A"/>
    <w:rsid w:val="3DA037A5"/>
    <w:rsid w:val="3DD27E02"/>
    <w:rsid w:val="3E6622F9"/>
    <w:rsid w:val="40D96D6B"/>
    <w:rsid w:val="41766CF7"/>
    <w:rsid w:val="41B94FA3"/>
    <w:rsid w:val="4436451B"/>
    <w:rsid w:val="44501A81"/>
    <w:rsid w:val="449C7F6C"/>
    <w:rsid w:val="44F37830"/>
    <w:rsid w:val="452A22D2"/>
    <w:rsid w:val="48F12170"/>
    <w:rsid w:val="49664439"/>
    <w:rsid w:val="4A9D3546"/>
    <w:rsid w:val="4B991F60"/>
    <w:rsid w:val="4D706CF0"/>
    <w:rsid w:val="4E9764FE"/>
    <w:rsid w:val="4EA43336"/>
    <w:rsid w:val="4EE07EA5"/>
    <w:rsid w:val="4F304989"/>
    <w:rsid w:val="4FCE780F"/>
    <w:rsid w:val="51312C3A"/>
    <w:rsid w:val="51377AAC"/>
    <w:rsid w:val="5144471C"/>
    <w:rsid w:val="522172C1"/>
    <w:rsid w:val="52842DED"/>
    <w:rsid w:val="53E43511"/>
    <w:rsid w:val="54FD6293"/>
    <w:rsid w:val="554A074D"/>
    <w:rsid w:val="558E065B"/>
    <w:rsid w:val="560B1CAC"/>
    <w:rsid w:val="56340C6E"/>
    <w:rsid w:val="58931AE5"/>
    <w:rsid w:val="59CD7278"/>
    <w:rsid w:val="5A4A1772"/>
    <w:rsid w:val="5AB056BB"/>
    <w:rsid w:val="5B1461B1"/>
    <w:rsid w:val="5CC76201"/>
    <w:rsid w:val="5D701C98"/>
    <w:rsid w:val="5D9562FF"/>
    <w:rsid w:val="5E781EA8"/>
    <w:rsid w:val="5E9E7868"/>
    <w:rsid w:val="5ECB792F"/>
    <w:rsid w:val="63595B29"/>
    <w:rsid w:val="63A10D4A"/>
    <w:rsid w:val="63F962EE"/>
    <w:rsid w:val="660202AA"/>
    <w:rsid w:val="665C2547"/>
    <w:rsid w:val="66DD4F88"/>
    <w:rsid w:val="68801F06"/>
    <w:rsid w:val="68C55EF4"/>
    <w:rsid w:val="693E784B"/>
    <w:rsid w:val="698A6F34"/>
    <w:rsid w:val="6AD93CCF"/>
    <w:rsid w:val="6BCC2999"/>
    <w:rsid w:val="6C47110C"/>
    <w:rsid w:val="6C5F3A9C"/>
    <w:rsid w:val="6E0175C5"/>
    <w:rsid w:val="6EE56734"/>
    <w:rsid w:val="71E573FD"/>
    <w:rsid w:val="723C64BA"/>
    <w:rsid w:val="73325021"/>
    <w:rsid w:val="74962C31"/>
    <w:rsid w:val="74D379E1"/>
    <w:rsid w:val="753560B5"/>
    <w:rsid w:val="76487F5B"/>
    <w:rsid w:val="796E7FF5"/>
    <w:rsid w:val="7A2860D7"/>
    <w:rsid w:val="7A401675"/>
    <w:rsid w:val="7C833A9B"/>
    <w:rsid w:val="7F485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line="450" w:lineRule="atLeast"/>
      <w:jc w:val="left"/>
      <w:outlineLvl w:val="0"/>
    </w:pPr>
    <w:rPr>
      <w:rFonts w:hint="eastAsia" w:ascii="宋体" w:hAnsi="宋体" w:eastAsia="宋体" w:cs="Times New Roman"/>
      <w:b/>
      <w:kern w:val="44"/>
      <w:sz w:val="36"/>
      <w:szCs w:val="36"/>
    </w:rPr>
  </w:style>
  <w:style w:type="paragraph" w:styleId="3">
    <w:name w:val="heading 3"/>
    <w:basedOn w:val="1"/>
    <w:next w:val="1"/>
    <w:unhideWhenUsed/>
    <w:qFormat/>
    <w:uiPriority w:val="0"/>
    <w:pPr>
      <w:pBdr>
        <w:bottom w:val="single" w:color="E7E7E7" w:sz="6" w:space="0"/>
      </w:pBdr>
      <w:spacing w:beforeAutospacing="1" w:afterAutospacing="1" w:line="450" w:lineRule="atLeast"/>
      <w:jc w:val="left"/>
      <w:outlineLvl w:val="2"/>
    </w:pPr>
    <w:rPr>
      <w:rFonts w:hint="eastAsia" w:ascii="宋体" w:hAnsi="宋体" w:eastAsia="宋体" w:cs="Times New Roman"/>
      <w:kern w:val="0"/>
      <w:sz w:val="27"/>
      <w:szCs w:val="27"/>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0"/>
    <w:pPr>
      <w:jc w:val="left"/>
    </w:pPr>
  </w:style>
  <w:style w:type="paragraph" w:styleId="5">
    <w:name w:val="Body Text"/>
    <w:basedOn w:val="1"/>
    <w:link w:val="30"/>
    <w:unhideWhenUsed/>
    <w:qFormat/>
    <w:uiPriority w:val="99"/>
    <w:pPr>
      <w:spacing w:after="120"/>
    </w:pPr>
    <w:rPr>
      <w:rFonts w:ascii="Calibri" w:hAnsi="Calibri" w:eastAsia="宋体" w:cs="Times New Roman"/>
      <w:szCs w:val="22"/>
    </w:rPr>
  </w:style>
  <w:style w:type="paragraph" w:styleId="6">
    <w:name w:val="Body Text Indent"/>
    <w:basedOn w:val="1"/>
    <w:link w:val="27"/>
    <w:qFormat/>
    <w:uiPriority w:val="99"/>
    <w:pPr>
      <w:snapToGrid w:val="0"/>
      <w:spacing w:line="560" w:lineRule="atLeast"/>
      <w:ind w:left="570"/>
    </w:pPr>
    <w:rPr>
      <w:rFonts w:ascii="仿宋_GB2312" w:hAnsi="Times New Roman" w:eastAsia="仿宋_GB2312" w:cs="Times New Roman"/>
      <w:b/>
      <w:kern w:val="0"/>
      <w:sz w:val="30"/>
      <w:szCs w:val="20"/>
    </w:rPr>
  </w:style>
  <w:style w:type="paragraph" w:styleId="7">
    <w:name w:val="Date"/>
    <w:basedOn w:val="1"/>
    <w:next w:val="1"/>
    <w:link w:val="32"/>
    <w:semiHidden/>
    <w:unhideWhenUsed/>
    <w:qFormat/>
    <w:uiPriority w:val="0"/>
    <w:pPr>
      <w:ind w:left="100" w:leftChars="2500"/>
    </w:pPr>
  </w:style>
  <w:style w:type="paragraph" w:styleId="8">
    <w:name w:val="Balloon Text"/>
    <w:basedOn w:val="1"/>
    <w:link w:val="23"/>
    <w:qFormat/>
    <w:uiPriority w:val="0"/>
    <w:rPr>
      <w:sz w:val="18"/>
      <w:szCs w:val="18"/>
    </w:rPr>
  </w:style>
  <w:style w:type="paragraph" w:styleId="9">
    <w:name w:val="footer"/>
    <w:basedOn w:val="1"/>
    <w:link w:val="22"/>
    <w:qFormat/>
    <w:uiPriority w:val="0"/>
    <w:pPr>
      <w:tabs>
        <w:tab w:val="center" w:pos="4153"/>
        <w:tab w:val="right" w:pos="8306"/>
      </w:tabs>
      <w:snapToGrid w:val="0"/>
      <w:jc w:val="left"/>
    </w:pPr>
    <w:rPr>
      <w:sz w:val="18"/>
      <w:szCs w:val="18"/>
    </w:rPr>
  </w:style>
  <w:style w:type="paragraph" w:styleId="10">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50" w:afterAutospacing="1" w:line="450" w:lineRule="atLeast"/>
      <w:jc w:val="left"/>
    </w:pPr>
    <w:rPr>
      <w:rFonts w:ascii="微软雅黑" w:hAnsi="微软雅黑" w:eastAsia="微软雅黑" w:cs="Times New Roman"/>
      <w:color w:val="111111"/>
      <w:kern w:val="0"/>
      <w:sz w:val="24"/>
    </w:rPr>
  </w:style>
  <w:style w:type="paragraph" w:styleId="12">
    <w:name w:val="Title"/>
    <w:basedOn w:val="1"/>
    <w:next w:val="1"/>
    <w:link w:val="28"/>
    <w:qFormat/>
    <w:uiPriority w:val="10"/>
    <w:pPr>
      <w:spacing w:before="240" w:after="60" w:line="560" w:lineRule="atLeast"/>
      <w:jc w:val="center"/>
      <w:outlineLvl w:val="0"/>
    </w:pPr>
    <w:rPr>
      <w:rFonts w:ascii="Cambria" w:hAnsi="Cambria"/>
      <w:b/>
      <w:bCs/>
      <w:kern w:val="0"/>
      <w:sz w:val="44"/>
      <w:szCs w:val="32"/>
    </w:rPr>
  </w:style>
  <w:style w:type="character" w:styleId="15">
    <w:name w:val="Strong"/>
    <w:basedOn w:val="14"/>
    <w:qFormat/>
    <w:uiPriority w:val="0"/>
    <w:rPr>
      <w:b/>
      <w:sz w:val="24"/>
      <w:szCs w:val="24"/>
    </w:rPr>
  </w:style>
  <w:style w:type="character" w:styleId="16">
    <w:name w:val="Hyperlink"/>
    <w:basedOn w:val="14"/>
    <w:qFormat/>
    <w:uiPriority w:val="0"/>
    <w:rPr>
      <w:color w:val="0000FF"/>
      <w:u w:val="single"/>
    </w:rPr>
  </w:style>
  <w:style w:type="character" w:styleId="17">
    <w:name w:val="annotation reference"/>
    <w:basedOn w:val="14"/>
    <w:semiHidden/>
    <w:unhideWhenUsed/>
    <w:qFormat/>
    <w:uiPriority w:val="0"/>
    <w:rPr>
      <w:sz w:val="21"/>
      <w:szCs w:val="21"/>
    </w:rPr>
  </w:style>
  <w:style w:type="character" w:customStyle="1" w:styleId="18">
    <w:name w:val="bsharetext"/>
    <w:basedOn w:val="14"/>
    <w:qFormat/>
    <w:uiPriority w:val="0"/>
  </w:style>
  <w:style w:type="paragraph" w:customStyle="1" w:styleId="19">
    <w:name w:val="p0"/>
    <w:basedOn w:val="1"/>
    <w:qFormat/>
    <w:uiPriority w:val="0"/>
    <w:pPr>
      <w:widowControl/>
    </w:pPr>
    <w:rPr>
      <w:rFonts w:ascii="Times New Roman" w:hAnsi="Times New Roman"/>
      <w:kern w:val="0"/>
      <w:szCs w:val="21"/>
    </w:rPr>
  </w:style>
  <w:style w:type="paragraph" w:customStyle="1" w:styleId="20">
    <w:name w:val="p16"/>
    <w:basedOn w:val="1"/>
    <w:qFormat/>
    <w:uiPriority w:val="0"/>
    <w:pPr>
      <w:widowControl/>
      <w:spacing w:line="360" w:lineRule="auto"/>
      <w:ind w:firstLine="600"/>
    </w:pPr>
    <w:rPr>
      <w:rFonts w:ascii="仿宋_GB2312" w:hAnsi="仿宋_GB2312" w:cs="宋体"/>
      <w:kern w:val="0"/>
      <w:sz w:val="30"/>
      <w:szCs w:val="30"/>
    </w:rPr>
  </w:style>
  <w:style w:type="character" w:customStyle="1" w:styleId="21">
    <w:name w:val="页眉 字符"/>
    <w:basedOn w:val="14"/>
    <w:link w:val="10"/>
    <w:qFormat/>
    <w:uiPriority w:val="0"/>
    <w:rPr>
      <w:rFonts w:asciiTheme="minorHAnsi" w:hAnsiTheme="minorHAnsi" w:eastAsiaTheme="minorEastAsia" w:cstheme="minorBidi"/>
      <w:kern w:val="2"/>
      <w:sz w:val="18"/>
      <w:szCs w:val="18"/>
    </w:rPr>
  </w:style>
  <w:style w:type="character" w:customStyle="1" w:styleId="22">
    <w:name w:val="页脚 字符"/>
    <w:basedOn w:val="14"/>
    <w:link w:val="9"/>
    <w:qFormat/>
    <w:uiPriority w:val="0"/>
    <w:rPr>
      <w:rFonts w:asciiTheme="minorHAnsi" w:hAnsiTheme="minorHAnsi" w:eastAsiaTheme="minorEastAsia" w:cstheme="minorBidi"/>
      <w:kern w:val="2"/>
      <w:sz w:val="18"/>
      <w:szCs w:val="18"/>
    </w:rPr>
  </w:style>
  <w:style w:type="character" w:customStyle="1" w:styleId="23">
    <w:name w:val="批注框文本 字符"/>
    <w:basedOn w:val="14"/>
    <w:link w:val="8"/>
    <w:qFormat/>
    <w:uiPriority w:val="0"/>
    <w:rPr>
      <w:rFonts w:asciiTheme="minorHAnsi" w:hAnsiTheme="minorHAnsi" w:eastAsiaTheme="minorEastAsia" w:cstheme="minorBidi"/>
      <w:kern w:val="2"/>
      <w:sz w:val="18"/>
      <w:szCs w:val="18"/>
    </w:rPr>
  </w:style>
  <w:style w:type="paragraph" w:customStyle="1" w:styleId="24">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styleId="25">
    <w:name w:val="List Paragraph"/>
    <w:basedOn w:val="1"/>
    <w:qFormat/>
    <w:uiPriority w:val="34"/>
    <w:pPr>
      <w:ind w:firstLine="420" w:firstLineChars="200"/>
    </w:pPr>
    <w:rPr>
      <w:rFonts w:ascii="Calibri" w:hAnsi="Calibri" w:eastAsia="宋体" w:cs="Times New Roman"/>
      <w:szCs w:val="22"/>
    </w:rPr>
  </w:style>
  <w:style w:type="character" w:customStyle="1" w:styleId="26">
    <w:name w:val="正文文本缩进 字符"/>
    <w:basedOn w:val="14"/>
    <w:semiHidden/>
    <w:qFormat/>
    <w:uiPriority w:val="0"/>
    <w:rPr>
      <w:rFonts w:asciiTheme="minorHAnsi" w:hAnsiTheme="minorHAnsi" w:eastAsiaTheme="minorEastAsia" w:cstheme="minorBidi"/>
      <w:kern w:val="2"/>
      <w:sz w:val="21"/>
      <w:szCs w:val="24"/>
    </w:rPr>
  </w:style>
  <w:style w:type="character" w:customStyle="1" w:styleId="27">
    <w:name w:val="正文文本缩进 字符1"/>
    <w:basedOn w:val="14"/>
    <w:link w:val="6"/>
    <w:qFormat/>
    <w:uiPriority w:val="99"/>
    <w:rPr>
      <w:rFonts w:ascii="仿宋_GB2312" w:eastAsia="仿宋_GB2312"/>
      <w:b/>
      <w:sz w:val="30"/>
    </w:rPr>
  </w:style>
  <w:style w:type="character" w:customStyle="1" w:styleId="28">
    <w:name w:val="标题 字符"/>
    <w:basedOn w:val="14"/>
    <w:link w:val="12"/>
    <w:qFormat/>
    <w:uiPriority w:val="10"/>
    <w:rPr>
      <w:rFonts w:ascii="Cambria" w:hAnsi="Cambria" w:eastAsiaTheme="minorEastAsia" w:cstheme="minorBidi"/>
      <w:b/>
      <w:bCs/>
      <w:sz w:val="44"/>
      <w:szCs w:val="32"/>
    </w:rPr>
  </w:style>
  <w:style w:type="character" w:customStyle="1" w:styleId="29">
    <w:name w:val="正文文本 字符"/>
    <w:basedOn w:val="14"/>
    <w:semiHidden/>
    <w:qFormat/>
    <w:uiPriority w:val="0"/>
    <w:rPr>
      <w:rFonts w:asciiTheme="minorHAnsi" w:hAnsiTheme="minorHAnsi" w:eastAsiaTheme="minorEastAsia" w:cstheme="minorBidi"/>
      <w:kern w:val="2"/>
      <w:sz w:val="21"/>
      <w:szCs w:val="24"/>
    </w:rPr>
  </w:style>
  <w:style w:type="character" w:customStyle="1" w:styleId="30">
    <w:name w:val="正文文本 字符1"/>
    <w:basedOn w:val="14"/>
    <w:link w:val="5"/>
    <w:qFormat/>
    <w:uiPriority w:val="99"/>
    <w:rPr>
      <w:rFonts w:ascii="Calibri" w:hAnsi="Calibri"/>
      <w:kern w:val="2"/>
      <w:sz w:val="21"/>
      <w:szCs w:val="22"/>
    </w:rPr>
  </w:style>
  <w:style w:type="character" w:customStyle="1" w:styleId="31">
    <w:name w:val="标题 字符1"/>
    <w:basedOn w:val="14"/>
    <w:qFormat/>
    <w:uiPriority w:val="10"/>
    <w:rPr>
      <w:rFonts w:ascii="Cambria" w:hAnsi="Cambria" w:eastAsia="宋体" w:cs="Times New Roman"/>
      <w:b/>
      <w:bCs/>
      <w:kern w:val="0"/>
      <w:sz w:val="44"/>
      <w:szCs w:val="32"/>
    </w:rPr>
  </w:style>
  <w:style w:type="character" w:customStyle="1" w:styleId="32">
    <w:name w:val="日期 字符"/>
    <w:basedOn w:val="14"/>
    <w:link w:val="7"/>
    <w:semiHidden/>
    <w:qFormat/>
    <w:uiPriority w:val="0"/>
    <w:rPr>
      <w:rFonts w:asciiTheme="minorHAnsi" w:hAnsiTheme="minorHAnsi" w:eastAsiaTheme="minorEastAsia" w:cstheme="minorBidi"/>
      <w:kern w:val="2"/>
      <w:sz w:val="21"/>
      <w:szCs w:val="24"/>
    </w:rPr>
  </w:style>
  <w:style w:type="paragraph" w:customStyle="1" w:styleId="33">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a455fad7-d8de-44bb-893e-1de995be9d70</errorID>
      <errorWord>-</errorWord>
      <group>L1_Format</group>
      <groupName>格式问题</groupName>
      <ability>L2_HalfPunc_CN</ability>
      <abilityName/>
      <candidateList>
        <item>－</item>
      </candidateList>
      <explain>文本全半角错误。</explain>
      <paraID>67FCC060</paraID>
      <start>10</start>
      <end>11</end>
      <status>unmodified</status>
      <modifiedWord/>
      <trackRevisions>false</trackRevisions>
    </reviewItem>
    <reviewItem>
      <errorID>984ad597-d918-4dfc-8aa8-726dd0d75fbd</errorID>
      <errorWord>:</errorWord>
      <group>L1_Format</group>
      <groupName>格式问题</groupName>
      <ability>L2_HalfPunc_CN</ability>
      <abilityName/>
      <candidateList>
        <item>：</item>
      </candidateList>
      <explain>文本全半角错误。</explain>
      <paraID>1B2E86BF</paraID>
      <start>23</start>
      <end>24</end>
      <status>unmodified</status>
      <modifiedWord/>
      <trackRevisions>false</trackRevisions>
    </reviewItem>
    <reviewItem>
      <errorID>94bc0bb0-99da-403f-89c7-144671aa3282</errorID>
      <errorWord>:</errorWord>
      <group>L1_Format</group>
      <groupName>格式问题</groupName>
      <ability>L2_HalfPunc_CN</ability>
      <abilityName/>
      <candidateList>
        <item>：</item>
      </candidateList>
      <explain>文本全半角错误。</explain>
      <paraID>1B2E86BF</paraID>
      <start>56</start>
      <end>57</end>
      <status>unmodified</status>
      <modifiedWord/>
      <trackRevisions>false</trackRevisions>
    </reviewItem>
    <reviewItem>
      <errorID>d4c5742b-f0da-406d-b47d-ab79b7b9f75d</errorID>
      <errorWord>支付出</errorWord>
      <group>L1_Word</group>
      <groupName>字词问题</groupName>
      <ability>L2_Typo</ability>
      <abilityName>字词错误</abilityName>
      <candidateList>
        <item>支付</item>
      </candidateList>
      <explain/>
      <paraID>62F405A8</paraID>
      <start>97</start>
      <end>99</end>
      <status>modified</status>
      <modifiedWord>支付</modifiedWord>
      <trackRevisions>false</trackRevisions>
    </reviewItem>
    <reviewItem>
      <errorID>4d2a1021-18b9-42e7-acaf-8f04bd8bb031</errorID>
      <errorWord>其它</errorWord>
      <group>L1_Word</group>
      <groupName>字词问题</groupName>
      <ability>L2_Alias</ability>
      <abilityName>也作/曾用词</abilityName>
      <candidateList>
        <item>其他</item>
      </candidateList>
      <explain>词汇[其它]为不规范表述或旧称，其规范书面表述为[其他]。</explain>
      <paraID> 72F9853</paraID>
      <start>118</start>
      <end>120</end>
      <status>unmodified</status>
      <modifiedWord/>
      <trackRevisions>false</trackRevisions>
    </reviewItem>
    <reviewItem>
      <errorID>c8e2caa2-212f-4480-bc97-0ffaef5934bf</errorID>
      <errorWord>其它</errorWord>
      <group>L1_Word</group>
      <groupName>字词问题</groupName>
      <ability>L2_Alias</ability>
      <abilityName>也作/曾用词</abilityName>
      <candidateList>
        <item>其他</item>
      </candidateList>
      <explain>词汇[其它]为不规范表述或旧称，其规范书面表述为[其他]。</explain>
      <paraID>4CB344FD</paraID>
      <start>7</start>
      <end>9</end>
      <status>unmodified</status>
      <modifiedWord/>
      <trackRevisions>false</trackRevisions>
    </reviewItem>
    <reviewItem>
      <errorID>2f25176a-2e2a-4730-9ef5-6a4a098feb1c</errorID>
      <errorWord>按《中华人民共和国</errorWord>
      <group>L1_Political</group>
      <groupName>政治性问题</groupName>
      <ability>L2_Unpolitical</ability>
      <abilityName>政治敏感错误</abilityName>
      <candidateList>
        <item>按照《中华人民共和国</item>
      </candidateList>
      <explain/>
      <paraID>4CB344FD</paraID>
      <start>13</start>
      <end>23</end>
      <status>modified</status>
      <modifiedWord>按照《中华人民共和国</modifiedWord>
      <trackRevisions>false</trackRevisions>
    </reviewItem>
  </reviewItems>
  <config/>
</contractReview>
</file>

<file path=customXml/itemProps1.xml><?xml version="1.0" encoding="utf-8"?>
<ds:datastoreItem xmlns:ds="http://schemas.openxmlformats.org/officeDocument/2006/customXml" ds:itemID="{596fd97c-b07a-4119-a8de-8ba1ca9d3571}">
  <ds:schemaRefs/>
</ds:datastoreItem>
</file>

<file path=docProps/app.xml><?xml version="1.0" encoding="utf-8"?>
<Properties xmlns="http://schemas.openxmlformats.org/officeDocument/2006/extended-properties" xmlns:vt="http://schemas.openxmlformats.org/officeDocument/2006/docPropsVTypes">
  <Template>Normal</Template>
  <Pages>3</Pages>
  <Words>2341</Words>
  <Characters>2404</Characters>
  <Lines>26</Lines>
  <Paragraphs>7</Paragraphs>
  <TotalTime>34</TotalTime>
  <ScaleCrop>false</ScaleCrop>
  <LinksUpToDate>false</LinksUpToDate>
  <CharactersWithSpaces>3063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2022-12-05T07:25:00Z</dcterms:created>
  <dc:creator>think</dc:creator>
  <cp:lastModifiedBy>常小事儿</cp:lastModifiedBy>
  <cp:lastPrinted>2022-12-05T00:43:00Z</cp:lastPrinted>
  <dcterms:modified xsi:type="dcterms:W3CDTF">2026-06-11T06:08:16Z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7ECA1CCBACE1457787831350FB25CF27_13</vt:lpwstr>
  </property>
  <property fmtid="{D5CDD505-2E9C-101B-9397-08002B2CF9AE}" pid="4" name="KSOTemplateDocerSaveRecord">
    <vt:lpwstr>eyJoZGlkIjoiOGJlMjhjMTIzZWI5NjM5NzE0YjcwMTE3NTQxMjA3OGUiLCJ1c2VySWQiOiIxMDIxODM2ODE2In0=</vt:lpwstr>
  </property>
</Properties>
</file>