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56" w:rsidRDefault="00D4630C">
      <w:pPr>
        <w:adjustRightInd w:val="0"/>
        <w:snapToGrid w:val="0"/>
        <w:spacing w:line="400" w:lineRule="exact"/>
        <w:jc w:val="center"/>
        <w:rPr>
          <w:b/>
          <w:sz w:val="24"/>
          <w:szCs w:val="24"/>
        </w:rPr>
      </w:pPr>
      <w:r>
        <w:rPr>
          <w:rFonts w:hint="eastAsia"/>
          <w:b/>
          <w:sz w:val="24"/>
          <w:szCs w:val="24"/>
        </w:rPr>
        <w:t>中央储备棉销售合同</w:t>
      </w:r>
    </w:p>
    <w:p w:rsidR="00AC3C56" w:rsidRDefault="00AC3C56">
      <w:pPr>
        <w:adjustRightInd w:val="0"/>
        <w:snapToGrid w:val="0"/>
        <w:spacing w:line="400" w:lineRule="exact"/>
        <w:jc w:val="center"/>
        <w:rPr>
          <w:b/>
          <w:sz w:val="24"/>
          <w:szCs w:val="24"/>
        </w:rPr>
      </w:pPr>
    </w:p>
    <w:p w:rsidR="00AC3C56" w:rsidRDefault="00D4630C">
      <w:pPr>
        <w:adjustRightInd w:val="0"/>
        <w:snapToGrid w:val="0"/>
        <w:rPr>
          <w:sz w:val="24"/>
          <w:szCs w:val="24"/>
        </w:rPr>
      </w:pPr>
      <w:r>
        <w:rPr>
          <w:rFonts w:hint="eastAsia"/>
          <w:sz w:val="24"/>
          <w:szCs w:val="24"/>
        </w:rPr>
        <w:t>出卖人:               合同编号：               签订地点：北京市西城区买受人:               见证编号：               签订时间：年 月 日</w:t>
      </w:r>
    </w:p>
    <w:p w:rsidR="00AC3C56" w:rsidRDefault="00D4630C">
      <w:pPr>
        <w:pStyle w:val="1"/>
        <w:numPr>
          <w:ilvl w:val="0"/>
          <w:numId w:val="1"/>
        </w:numPr>
        <w:adjustRightInd w:val="0"/>
        <w:snapToGrid w:val="0"/>
        <w:ind w:left="0" w:firstLineChars="0" w:firstLine="0"/>
        <w:rPr>
          <w:rFonts w:ascii="仿宋" w:eastAsia="仿宋" w:hAnsi="仿宋"/>
          <w:color w:val="000000"/>
          <w:sz w:val="24"/>
          <w:szCs w:val="24"/>
        </w:rPr>
      </w:pPr>
      <w:r>
        <w:rPr>
          <w:rFonts w:ascii="仿宋" w:eastAsia="仿宋" w:hAnsi="仿宋" w:hint="eastAsia"/>
          <w:color w:val="000000"/>
          <w:sz w:val="24"/>
          <w:szCs w:val="24"/>
        </w:rPr>
        <w:t>根据《中华人民共和国民法典》及《关于2026年中央储备棉销售的公告》，经双方协商一致，签订本合同。</w:t>
      </w:r>
    </w:p>
    <w:p w:rsidR="00AC3C56" w:rsidRDefault="00D4630C">
      <w:pPr>
        <w:pStyle w:val="1"/>
        <w:numPr>
          <w:ilvl w:val="0"/>
          <w:numId w:val="1"/>
        </w:numPr>
        <w:adjustRightInd w:val="0"/>
        <w:snapToGrid w:val="0"/>
        <w:ind w:left="0" w:firstLineChars="0" w:firstLine="0"/>
        <w:rPr>
          <w:rFonts w:ascii="仿宋" w:eastAsia="仿宋" w:hAnsi="仿宋"/>
          <w:color w:val="000000"/>
          <w:sz w:val="24"/>
          <w:szCs w:val="24"/>
        </w:rPr>
      </w:pPr>
      <w:r>
        <w:rPr>
          <w:rFonts w:ascii="仿宋" w:eastAsia="仿宋" w:hAnsi="仿宋" w:hint="eastAsia"/>
          <w:color w:val="000000"/>
          <w:sz w:val="24"/>
          <w:szCs w:val="24"/>
        </w:rPr>
        <w:t>数量、单价、承储仓库。</w:t>
      </w:r>
    </w:p>
    <w:tbl>
      <w:tblPr>
        <w:tblW w:w="9090" w:type="dxa"/>
        <w:tblLayout w:type="fixed"/>
        <w:tblLook w:val="04A0" w:firstRow="1" w:lastRow="0" w:firstColumn="1" w:lastColumn="0" w:noHBand="0" w:noVBand="1"/>
      </w:tblPr>
      <w:tblGrid>
        <w:gridCol w:w="236"/>
        <w:gridCol w:w="1024"/>
        <w:gridCol w:w="1416"/>
        <w:gridCol w:w="1276"/>
        <w:gridCol w:w="1286"/>
        <w:gridCol w:w="1249"/>
        <w:gridCol w:w="2603"/>
      </w:tblGrid>
      <w:tr w:rsidR="00AC3C56">
        <w:trPr>
          <w:trHeight w:val="426"/>
        </w:trPr>
        <w:tc>
          <w:tcPr>
            <w:tcW w:w="1260" w:type="dxa"/>
            <w:gridSpan w:val="2"/>
            <w:tcBorders>
              <w:top w:val="single" w:sz="4" w:space="0" w:color="auto"/>
              <w:left w:val="single" w:sz="4" w:space="0" w:color="auto"/>
              <w:bottom w:val="single" w:sz="4" w:space="0" w:color="000000"/>
              <w:right w:val="single" w:sz="4" w:space="0" w:color="000000"/>
            </w:tcBorders>
            <w:vAlign w:val="center"/>
          </w:tcPr>
          <w:p w:rsidR="00AC3C56" w:rsidRDefault="00D4630C">
            <w:pPr>
              <w:widowControl/>
              <w:adjustRightInd w:val="0"/>
              <w:snapToGrid w:val="0"/>
              <w:rPr>
                <w:rFonts w:cs="宋体"/>
                <w:kern w:val="0"/>
                <w:sz w:val="24"/>
                <w:szCs w:val="24"/>
              </w:rPr>
            </w:pPr>
            <w:r>
              <w:rPr>
                <w:rFonts w:cs="宋体" w:hint="eastAsia"/>
                <w:kern w:val="0"/>
                <w:sz w:val="24"/>
                <w:szCs w:val="24"/>
              </w:rPr>
              <w:t>捆号</w:t>
            </w:r>
          </w:p>
        </w:tc>
        <w:tc>
          <w:tcPr>
            <w:tcW w:w="1416" w:type="dxa"/>
            <w:tcBorders>
              <w:top w:val="single" w:sz="4" w:space="0" w:color="auto"/>
              <w:left w:val="single" w:sz="4" w:space="0" w:color="auto"/>
              <w:bottom w:val="single" w:sz="4" w:space="0" w:color="000000"/>
              <w:right w:val="single" w:sz="4" w:space="0" w:color="auto"/>
            </w:tcBorders>
            <w:vAlign w:val="center"/>
          </w:tcPr>
          <w:p w:rsidR="00AC3C56" w:rsidRDefault="00D4630C">
            <w:pPr>
              <w:widowControl/>
              <w:adjustRightInd w:val="0"/>
              <w:snapToGrid w:val="0"/>
              <w:rPr>
                <w:rFonts w:cs="宋体"/>
                <w:kern w:val="0"/>
                <w:sz w:val="24"/>
                <w:szCs w:val="24"/>
              </w:rPr>
            </w:pPr>
            <w:r>
              <w:rPr>
                <w:rFonts w:cs="宋体" w:hint="eastAsia"/>
                <w:kern w:val="0"/>
                <w:sz w:val="24"/>
                <w:szCs w:val="24"/>
              </w:rPr>
              <w:t>数量（吨）</w:t>
            </w:r>
          </w:p>
        </w:tc>
        <w:tc>
          <w:tcPr>
            <w:tcW w:w="1276" w:type="dxa"/>
            <w:tcBorders>
              <w:top w:val="single" w:sz="4" w:space="0" w:color="auto"/>
              <w:left w:val="single" w:sz="4" w:space="0" w:color="auto"/>
              <w:bottom w:val="single" w:sz="4" w:space="0" w:color="auto"/>
              <w:right w:val="single" w:sz="4" w:space="0" w:color="auto"/>
            </w:tcBorders>
            <w:vAlign w:val="center"/>
          </w:tcPr>
          <w:p w:rsidR="00AC3C56" w:rsidRDefault="00D4630C">
            <w:pPr>
              <w:widowControl/>
              <w:adjustRightInd w:val="0"/>
              <w:snapToGrid w:val="0"/>
              <w:jc w:val="center"/>
              <w:rPr>
                <w:rFonts w:cs="宋体"/>
                <w:kern w:val="0"/>
                <w:sz w:val="24"/>
                <w:szCs w:val="24"/>
              </w:rPr>
            </w:pPr>
            <w:r>
              <w:rPr>
                <w:rFonts w:cs="宋体" w:hint="eastAsia"/>
                <w:kern w:val="0"/>
                <w:sz w:val="24"/>
                <w:szCs w:val="24"/>
              </w:rPr>
              <w:t xml:space="preserve">单价  </w:t>
            </w:r>
            <w:r>
              <w:rPr>
                <w:rFonts w:hint="eastAsia"/>
                <w:kern w:val="0"/>
                <w:sz w:val="24"/>
                <w:szCs w:val="24"/>
              </w:rPr>
              <w:t>(</w:t>
            </w:r>
            <w:r>
              <w:rPr>
                <w:rFonts w:cs="宋体" w:hint="eastAsia"/>
                <w:kern w:val="0"/>
                <w:sz w:val="24"/>
                <w:szCs w:val="24"/>
              </w:rPr>
              <w:t>元</w:t>
            </w:r>
            <w:r>
              <w:rPr>
                <w:rFonts w:hint="eastAsia"/>
                <w:kern w:val="0"/>
                <w:sz w:val="24"/>
                <w:szCs w:val="24"/>
              </w:rPr>
              <w:t>/</w:t>
            </w:r>
            <w:r>
              <w:rPr>
                <w:rFonts w:cs="宋体" w:hint="eastAsia"/>
                <w:kern w:val="0"/>
                <w:sz w:val="24"/>
                <w:szCs w:val="24"/>
              </w:rPr>
              <w:t>吨</w:t>
            </w:r>
            <w:r>
              <w:rPr>
                <w:rFonts w:hint="eastAsia"/>
                <w:kern w:val="0"/>
                <w:sz w:val="24"/>
                <w:szCs w:val="24"/>
              </w:rPr>
              <w:t>)</w:t>
            </w:r>
          </w:p>
        </w:tc>
        <w:tc>
          <w:tcPr>
            <w:tcW w:w="1286" w:type="dxa"/>
            <w:tcBorders>
              <w:top w:val="single" w:sz="4" w:space="0" w:color="auto"/>
              <w:left w:val="single" w:sz="4" w:space="0" w:color="auto"/>
              <w:bottom w:val="single" w:sz="4" w:space="0" w:color="auto"/>
              <w:right w:val="single" w:sz="4" w:space="0" w:color="auto"/>
            </w:tcBorders>
            <w:vAlign w:val="center"/>
          </w:tcPr>
          <w:p w:rsidR="00AC3C56" w:rsidRDefault="00D4630C">
            <w:pPr>
              <w:widowControl/>
              <w:adjustRightInd w:val="0"/>
              <w:snapToGrid w:val="0"/>
              <w:rPr>
                <w:rFonts w:cs="宋体"/>
                <w:kern w:val="0"/>
                <w:sz w:val="24"/>
                <w:szCs w:val="24"/>
              </w:rPr>
            </w:pPr>
            <w:r>
              <w:rPr>
                <w:rFonts w:cs="宋体" w:hint="eastAsia"/>
                <w:kern w:val="0"/>
                <w:sz w:val="24"/>
                <w:szCs w:val="24"/>
              </w:rPr>
              <w:t>金额（元）</w:t>
            </w:r>
          </w:p>
        </w:tc>
        <w:tc>
          <w:tcPr>
            <w:tcW w:w="1249" w:type="dxa"/>
            <w:tcBorders>
              <w:top w:val="single" w:sz="4" w:space="0" w:color="auto"/>
              <w:left w:val="single" w:sz="4" w:space="0" w:color="auto"/>
              <w:bottom w:val="single" w:sz="4" w:space="0" w:color="auto"/>
              <w:right w:val="single" w:sz="4" w:space="0" w:color="000000"/>
            </w:tcBorders>
            <w:vAlign w:val="center"/>
          </w:tcPr>
          <w:p w:rsidR="00AC3C56" w:rsidRDefault="00D4630C">
            <w:pPr>
              <w:widowControl/>
              <w:adjustRightInd w:val="0"/>
              <w:snapToGrid w:val="0"/>
              <w:rPr>
                <w:rFonts w:cs="宋体"/>
                <w:kern w:val="0"/>
                <w:sz w:val="24"/>
                <w:szCs w:val="24"/>
              </w:rPr>
            </w:pPr>
            <w:r>
              <w:rPr>
                <w:rFonts w:cs="宋体" w:hint="eastAsia"/>
                <w:kern w:val="0"/>
                <w:sz w:val="24"/>
                <w:szCs w:val="24"/>
              </w:rPr>
              <w:t>承储仓库</w:t>
            </w:r>
          </w:p>
        </w:tc>
        <w:tc>
          <w:tcPr>
            <w:tcW w:w="2603" w:type="dxa"/>
            <w:tcBorders>
              <w:top w:val="single" w:sz="4" w:space="0" w:color="auto"/>
              <w:left w:val="nil"/>
              <w:bottom w:val="single" w:sz="4" w:space="0" w:color="auto"/>
              <w:right w:val="single" w:sz="4" w:space="0" w:color="auto"/>
            </w:tcBorders>
            <w:vAlign w:val="center"/>
          </w:tcPr>
          <w:p w:rsidR="00AC3C56" w:rsidRDefault="00D4630C">
            <w:pPr>
              <w:widowControl/>
              <w:adjustRightInd w:val="0"/>
              <w:snapToGrid w:val="0"/>
              <w:jc w:val="center"/>
              <w:rPr>
                <w:sz w:val="24"/>
                <w:szCs w:val="24"/>
              </w:rPr>
            </w:pPr>
            <w:r>
              <w:rPr>
                <w:rFonts w:cs="宋体" w:hint="eastAsia"/>
                <w:kern w:val="0"/>
                <w:sz w:val="24"/>
                <w:szCs w:val="24"/>
              </w:rPr>
              <w:t>备注</w:t>
            </w:r>
          </w:p>
        </w:tc>
      </w:tr>
      <w:tr w:rsidR="00AC3C56">
        <w:trPr>
          <w:trHeight w:val="400"/>
        </w:trPr>
        <w:tc>
          <w:tcPr>
            <w:tcW w:w="1260" w:type="dxa"/>
            <w:gridSpan w:val="2"/>
            <w:tcBorders>
              <w:top w:val="single" w:sz="4" w:space="0" w:color="auto"/>
              <w:left w:val="single" w:sz="4" w:space="0" w:color="auto"/>
              <w:bottom w:val="single" w:sz="4" w:space="0" w:color="auto"/>
              <w:right w:val="single" w:sz="4" w:space="0" w:color="000000"/>
            </w:tcBorders>
            <w:vAlign w:val="center"/>
          </w:tcPr>
          <w:p w:rsidR="00AC3C56" w:rsidRDefault="00AC3C56">
            <w:pPr>
              <w:widowControl/>
              <w:adjustRightInd w:val="0"/>
              <w:snapToGrid w:val="0"/>
              <w:rPr>
                <w:rFonts w:cs="宋体"/>
                <w:kern w:val="0"/>
                <w:sz w:val="24"/>
                <w:szCs w:val="24"/>
              </w:rPr>
            </w:pPr>
          </w:p>
        </w:tc>
        <w:tc>
          <w:tcPr>
            <w:tcW w:w="1416" w:type="dxa"/>
            <w:tcBorders>
              <w:top w:val="nil"/>
              <w:left w:val="nil"/>
              <w:bottom w:val="single" w:sz="4" w:space="0" w:color="auto"/>
              <w:right w:val="single" w:sz="4" w:space="0" w:color="auto"/>
            </w:tcBorders>
            <w:vAlign w:val="center"/>
          </w:tcPr>
          <w:p w:rsidR="00AC3C56" w:rsidRDefault="00AC3C56">
            <w:pPr>
              <w:widowControl/>
              <w:adjustRightInd w:val="0"/>
              <w:snapToGrid w:val="0"/>
              <w:rPr>
                <w:rFonts w:cs="宋体"/>
                <w:kern w:val="0"/>
                <w:sz w:val="24"/>
                <w:szCs w:val="24"/>
              </w:rPr>
            </w:pPr>
          </w:p>
        </w:tc>
        <w:tc>
          <w:tcPr>
            <w:tcW w:w="1276" w:type="dxa"/>
            <w:tcBorders>
              <w:top w:val="nil"/>
              <w:left w:val="nil"/>
              <w:bottom w:val="single" w:sz="4" w:space="0" w:color="auto"/>
              <w:right w:val="single" w:sz="4" w:space="0" w:color="auto"/>
            </w:tcBorders>
            <w:vAlign w:val="center"/>
          </w:tcPr>
          <w:p w:rsidR="00AC3C56" w:rsidRDefault="00AC3C56">
            <w:pPr>
              <w:widowControl/>
              <w:adjustRightInd w:val="0"/>
              <w:snapToGrid w:val="0"/>
              <w:rPr>
                <w:rFonts w:cs="宋体"/>
                <w:kern w:val="0"/>
                <w:sz w:val="24"/>
                <w:szCs w:val="24"/>
              </w:rPr>
            </w:pPr>
          </w:p>
        </w:tc>
        <w:tc>
          <w:tcPr>
            <w:tcW w:w="1286" w:type="dxa"/>
            <w:tcBorders>
              <w:top w:val="nil"/>
              <w:left w:val="nil"/>
              <w:bottom w:val="single" w:sz="4" w:space="0" w:color="auto"/>
              <w:right w:val="single" w:sz="4" w:space="0" w:color="auto"/>
            </w:tcBorders>
            <w:vAlign w:val="center"/>
          </w:tcPr>
          <w:p w:rsidR="00AC3C56" w:rsidRDefault="00AC3C56">
            <w:pPr>
              <w:widowControl/>
              <w:adjustRightInd w:val="0"/>
              <w:snapToGrid w:val="0"/>
              <w:rPr>
                <w:kern w:val="0"/>
                <w:sz w:val="24"/>
                <w:szCs w:val="24"/>
              </w:rPr>
            </w:pPr>
          </w:p>
        </w:tc>
        <w:tc>
          <w:tcPr>
            <w:tcW w:w="1249" w:type="dxa"/>
            <w:vMerge w:val="restart"/>
            <w:tcBorders>
              <w:top w:val="single" w:sz="4" w:space="0" w:color="auto"/>
              <w:left w:val="single" w:sz="4" w:space="0" w:color="auto"/>
              <w:bottom w:val="single" w:sz="4" w:space="0" w:color="auto"/>
              <w:right w:val="single" w:sz="4" w:space="0" w:color="auto"/>
            </w:tcBorders>
            <w:vAlign w:val="center"/>
          </w:tcPr>
          <w:p w:rsidR="00AC3C56" w:rsidRDefault="00AC3C56">
            <w:pPr>
              <w:widowControl/>
              <w:adjustRightInd w:val="0"/>
              <w:snapToGrid w:val="0"/>
              <w:rPr>
                <w:rFonts w:cs="宋体"/>
                <w:kern w:val="0"/>
                <w:sz w:val="24"/>
                <w:szCs w:val="24"/>
              </w:rPr>
            </w:pPr>
          </w:p>
        </w:tc>
        <w:tc>
          <w:tcPr>
            <w:tcW w:w="2603" w:type="dxa"/>
            <w:vMerge w:val="restart"/>
            <w:tcBorders>
              <w:top w:val="single" w:sz="4" w:space="0" w:color="auto"/>
              <w:left w:val="single" w:sz="4" w:space="0" w:color="auto"/>
              <w:bottom w:val="single" w:sz="4" w:space="0" w:color="auto"/>
              <w:right w:val="single" w:sz="4" w:space="0" w:color="auto"/>
            </w:tcBorders>
            <w:vAlign w:val="center"/>
          </w:tcPr>
          <w:p w:rsidR="00AC3C56" w:rsidRDefault="00D4630C">
            <w:pPr>
              <w:widowControl/>
              <w:rPr>
                <w:b/>
                <w:sz w:val="24"/>
                <w:szCs w:val="24"/>
              </w:rPr>
            </w:pPr>
            <w:r>
              <w:rPr>
                <w:rFonts w:cs="仿宋" w:hint="eastAsia"/>
                <w:b/>
                <w:kern w:val="0"/>
                <w:sz w:val="24"/>
                <w:szCs w:val="24"/>
                <w:lang w:val="zh-CN"/>
              </w:rPr>
              <w:t>提货需倒垛、或转商品棉后需移出中央储备棉存放区域产生的费用由买方自行承担</w:t>
            </w:r>
          </w:p>
        </w:tc>
      </w:tr>
      <w:tr w:rsidR="00AC3C56">
        <w:trPr>
          <w:trHeight w:val="407"/>
        </w:trPr>
        <w:tc>
          <w:tcPr>
            <w:tcW w:w="236" w:type="dxa"/>
            <w:tcBorders>
              <w:top w:val="nil"/>
              <w:left w:val="single" w:sz="4" w:space="0" w:color="auto"/>
              <w:bottom w:val="single" w:sz="4" w:space="0" w:color="auto"/>
              <w:right w:val="nil"/>
            </w:tcBorders>
            <w:vAlign w:val="center"/>
          </w:tcPr>
          <w:p w:rsidR="00AC3C56" w:rsidRDefault="00AC3C56">
            <w:pPr>
              <w:widowControl/>
              <w:adjustRightInd w:val="0"/>
              <w:snapToGrid w:val="0"/>
              <w:rPr>
                <w:rFonts w:cs="宋体"/>
                <w:kern w:val="0"/>
                <w:sz w:val="24"/>
                <w:szCs w:val="24"/>
              </w:rPr>
            </w:pPr>
          </w:p>
        </w:tc>
        <w:tc>
          <w:tcPr>
            <w:tcW w:w="1024" w:type="dxa"/>
            <w:tcBorders>
              <w:top w:val="nil"/>
              <w:left w:val="nil"/>
              <w:bottom w:val="single" w:sz="4" w:space="0" w:color="auto"/>
              <w:right w:val="single" w:sz="4" w:space="0" w:color="auto"/>
            </w:tcBorders>
            <w:vAlign w:val="center"/>
          </w:tcPr>
          <w:p w:rsidR="00AC3C56" w:rsidRDefault="00AC3C56">
            <w:pPr>
              <w:widowControl/>
              <w:adjustRightInd w:val="0"/>
              <w:snapToGrid w:val="0"/>
              <w:rPr>
                <w:rFonts w:cs="宋体"/>
                <w:kern w:val="0"/>
                <w:sz w:val="24"/>
                <w:szCs w:val="24"/>
              </w:rPr>
            </w:pPr>
          </w:p>
        </w:tc>
        <w:tc>
          <w:tcPr>
            <w:tcW w:w="1416" w:type="dxa"/>
            <w:tcBorders>
              <w:top w:val="nil"/>
              <w:left w:val="nil"/>
              <w:bottom w:val="single" w:sz="4" w:space="0" w:color="auto"/>
              <w:right w:val="single" w:sz="4" w:space="0" w:color="auto"/>
            </w:tcBorders>
            <w:vAlign w:val="center"/>
          </w:tcPr>
          <w:p w:rsidR="00AC3C56" w:rsidRDefault="00AC3C56">
            <w:pPr>
              <w:widowControl/>
              <w:adjustRightInd w:val="0"/>
              <w:snapToGrid w:val="0"/>
              <w:rPr>
                <w:rFonts w:cs="宋体"/>
                <w:kern w:val="0"/>
                <w:sz w:val="24"/>
                <w:szCs w:val="24"/>
              </w:rPr>
            </w:pPr>
          </w:p>
        </w:tc>
        <w:tc>
          <w:tcPr>
            <w:tcW w:w="1276" w:type="dxa"/>
            <w:tcBorders>
              <w:top w:val="nil"/>
              <w:left w:val="nil"/>
              <w:bottom w:val="single" w:sz="4" w:space="0" w:color="auto"/>
              <w:right w:val="single" w:sz="4" w:space="0" w:color="auto"/>
            </w:tcBorders>
            <w:vAlign w:val="center"/>
          </w:tcPr>
          <w:p w:rsidR="00AC3C56" w:rsidRDefault="00D4630C">
            <w:pPr>
              <w:widowControl/>
              <w:adjustRightInd w:val="0"/>
              <w:snapToGrid w:val="0"/>
              <w:rPr>
                <w:rFonts w:cs="宋体"/>
                <w:kern w:val="0"/>
                <w:sz w:val="24"/>
                <w:szCs w:val="24"/>
              </w:rPr>
            </w:pPr>
            <w:r>
              <w:rPr>
                <w:rFonts w:cs="宋体" w:hint="eastAsia"/>
                <w:kern w:val="0"/>
                <w:sz w:val="24"/>
                <w:szCs w:val="24"/>
              </w:rPr>
              <w:t xml:space="preserve">　</w:t>
            </w:r>
          </w:p>
        </w:tc>
        <w:tc>
          <w:tcPr>
            <w:tcW w:w="1286" w:type="dxa"/>
            <w:tcBorders>
              <w:top w:val="nil"/>
              <w:left w:val="nil"/>
              <w:bottom w:val="single" w:sz="4" w:space="0" w:color="auto"/>
              <w:right w:val="single" w:sz="4" w:space="0" w:color="auto"/>
            </w:tcBorders>
            <w:vAlign w:val="center"/>
          </w:tcPr>
          <w:p w:rsidR="00AC3C56" w:rsidRDefault="00D4630C">
            <w:pPr>
              <w:widowControl/>
              <w:adjustRightInd w:val="0"/>
              <w:snapToGrid w:val="0"/>
              <w:rPr>
                <w:kern w:val="0"/>
                <w:sz w:val="24"/>
                <w:szCs w:val="24"/>
              </w:rPr>
            </w:pPr>
            <w:r>
              <w:rPr>
                <w:rFonts w:hint="eastAsia"/>
                <w:kern w:val="0"/>
                <w:sz w:val="24"/>
                <w:szCs w:val="24"/>
              </w:rPr>
              <w:t xml:space="preserve">　</w:t>
            </w:r>
          </w:p>
        </w:tc>
        <w:tc>
          <w:tcPr>
            <w:tcW w:w="1249" w:type="dxa"/>
            <w:vMerge/>
            <w:tcBorders>
              <w:top w:val="single" w:sz="4" w:space="0" w:color="auto"/>
              <w:left w:val="single" w:sz="4" w:space="0" w:color="auto"/>
              <w:bottom w:val="single" w:sz="4" w:space="0" w:color="auto"/>
              <w:right w:val="single" w:sz="4" w:space="0" w:color="auto"/>
            </w:tcBorders>
            <w:vAlign w:val="center"/>
          </w:tcPr>
          <w:p w:rsidR="00AC3C56" w:rsidRDefault="00AC3C56">
            <w:pPr>
              <w:widowControl/>
              <w:jc w:val="left"/>
              <w:rPr>
                <w:rFonts w:cs="宋体"/>
                <w:kern w:val="0"/>
                <w:sz w:val="24"/>
                <w:szCs w:val="24"/>
              </w:rPr>
            </w:pPr>
          </w:p>
        </w:tc>
        <w:tc>
          <w:tcPr>
            <w:tcW w:w="2603" w:type="dxa"/>
            <w:vMerge/>
            <w:tcBorders>
              <w:top w:val="single" w:sz="4" w:space="0" w:color="auto"/>
              <w:left w:val="single" w:sz="4" w:space="0" w:color="auto"/>
              <w:bottom w:val="single" w:sz="4" w:space="0" w:color="auto"/>
              <w:right w:val="single" w:sz="4" w:space="0" w:color="auto"/>
            </w:tcBorders>
            <w:vAlign w:val="center"/>
          </w:tcPr>
          <w:p w:rsidR="00AC3C56" w:rsidRDefault="00AC3C56">
            <w:pPr>
              <w:widowControl/>
              <w:jc w:val="left"/>
              <w:rPr>
                <w:b/>
                <w:sz w:val="24"/>
                <w:szCs w:val="24"/>
              </w:rPr>
            </w:pPr>
          </w:p>
        </w:tc>
      </w:tr>
      <w:tr w:rsidR="00AC3C56">
        <w:trPr>
          <w:trHeight w:val="298"/>
        </w:trPr>
        <w:tc>
          <w:tcPr>
            <w:tcW w:w="236" w:type="dxa"/>
            <w:tcBorders>
              <w:top w:val="nil"/>
              <w:left w:val="single" w:sz="4" w:space="0" w:color="auto"/>
              <w:bottom w:val="single" w:sz="4" w:space="0" w:color="auto"/>
              <w:right w:val="nil"/>
            </w:tcBorders>
            <w:vAlign w:val="center"/>
          </w:tcPr>
          <w:p w:rsidR="00AC3C56" w:rsidRDefault="00AC3C56">
            <w:pPr>
              <w:widowControl/>
              <w:adjustRightInd w:val="0"/>
              <w:snapToGrid w:val="0"/>
              <w:rPr>
                <w:rFonts w:cs="宋体"/>
                <w:kern w:val="0"/>
                <w:sz w:val="24"/>
                <w:szCs w:val="24"/>
              </w:rPr>
            </w:pPr>
          </w:p>
        </w:tc>
        <w:tc>
          <w:tcPr>
            <w:tcW w:w="1024" w:type="dxa"/>
            <w:tcBorders>
              <w:top w:val="nil"/>
              <w:left w:val="nil"/>
              <w:bottom w:val="single" w:sz="4" w:space="0" w:color="auto"/>
              <w:right w:val="single" w:sz="4" w:space="0" w:color="auto"/>
            </w:tcBorders>
            <w:vAlign w:val="center"/>
          </w:tcPr>
          <w:p w:rsidR="00AC3C56" w:rsidRDefault="00AC3C56">
            <w:pPr>
              <w:widowControl/>
              <w:adjustRightInd w:val="0"/>
              <w:snapToGrid w:val="0"/>
              <w:rPr>
                <w:rFonts w:cs="宋体"/>
                <w:kern w:val="0"/>
                <w:sz w:val="24"/>
                <w:szCs w:val="24"/>
              </w:rPr>
            </w:pPr>
          </w:p>
        </w:tc>
        <w:tc>
          <w:tcPr>
            <w:tcW w:w="1416" w:type="dxa"/>
            <w:tcBorders>
              <w:top w:val="nil"/>
              <w:left w:val="nil"/>
              <w:bottom w:val="single" w:sz="4" w:space="0" w:color="auto"/>
              <w:right w:val="single" w:sz="4" w:space="0" w:color="auto"/>
            </w:tcBorders>
            <w:vAlign w:val="center"/>
          </w:tcPr>
          <w:p w:rsidR="00AC3C56" w:rsidRDefault="00AC3C56">
            <w:pPr>
              <w:widowControl/>
              <w:adjustRightInd w:val="0"/>
              <w:snapToGrid w:val="0"/>
              <w:rPr>
                <w:rFonts w:cs="宋体"/>
                <w:kern w:val="0"/>
                <w:sz w:val="24"/>
                <w:szCs w:val="24"/>
              </w:rPr>
            </w:pPr>
          </w:p>
        </w:tc>
        <w:tc>
          <w:tcPr>
            <w:tcW w:w="1276" w:type="dxa"/>
            <w:tcBorders>
              <w:top w:val="nil"/>
              <w:left w:val="nil"/>
              <w:bottom w:val="single" w:sz="4" w:space="0" w:color="auto"/>
              <w:right w:val="single" w:sz="4" w:space="0" w:color="auto"/>
            </w:tcBorders>
            <w:vAlign w:val="center"/>
          </w:tcPr>
          <w:p w:rsidR="00AC3C56" w:rsidRDefault="00D4630C">
            <w:pPr>
              <w:widowControl/>
              <w:adjustRightInd w:val="0"/>
              <w:snapToGrid w:val="0"/>
              <w:rPr>
                <w:rFonts w:cs="宋体"/>
                <w:kern w:val="0"/>
                <w:sz w:val="24"/>
                <w:szCs w:val="24"/>
              </w:rPr>
            </w:pPr>
            <w:r>
              <w:rPr>
                <w:rFonts w:cs="宋体" w:hint="eastAsia"/>
                <w:kern w:val="0"/>
                <w:sz w:val="24"/>
                <w:szCs w:val="24"/>
              </w:rPr>
              <w:t xml:space="preserve">　</w:t>
            </w:r>
          </w:p>
        </w:tc>
        <w:tc>
          <w:tcPr>
            <w:tcW w:w="1286" w:type="dxa"/>
            <w:tcBorders>
              <w:top w:val="nil"/>
              <w:left w:val="nil"/>
              <w:bottom w:val="single" w:sz="4" w:space="0" w:color="auto"/>
              <w:right w:val="single" w:sz="4" w:space="0" w:color="auto"/>
            </w:tcBorders>
            <w:vAlign w:val="center"/>
          </w:tcPr>
          <w:p w:rsidR="00AC3C56" w:rsidRDefault="00D4630C">
            <w:pPr>
              <w:widowControl/>
              <w:adjustRightInd w:val="0"/>
              <w:snapToGrid w:val="0"/>
              <w:rPr>
                <w:kern w:val="0"/>
                <w:sz w:val="24"/>
                <w:szCs w:val="24"/>
              </w:rPr>
            </w:pPr>
            <w:r>
              <w:rPr>
                <w:rFonts w:hint="eastAsia"/>
                <w:kern w:val="0"/>
                <w:sz w:val="24"/>
                <w:szCs w:val="24"/>
              </w:rPr>
              <w:t xml:space="preserve">　</w:t>
            </w:r>
          </w:p>
        </w:tc>
        <w:tc>
          <w:tcPr>
            <w:tcW w:w="1249" w:type="dxa"/>
            <w:vMerge/>
            <w:tcBorders>
              <w:top w:val="single" w:sz="4" w:space="0" w:color="auto"/>
              <w:left w:val="single" w:sz="4" w:space="0" w:color="auto"/>
              <w:bottom w:val="single" w:sz="4" w:space="0" w:color="auto"/>
              <w:right w:val="single" w:sz="4" w:space="0" w:color="auto"/>
            </w:tcBorders>
            <w:vAlign w:val="center"/>
          </w:tcPr>
          <w:p w:rsidR="00AC3C56" w:rsidRDefault="00AC3C56">
            <w:pPr>
              <w:widowControl/>
              <w:jc w:val="left"/>
              <w:rPr>
                <w:rFonts w:cs="宋体"/>
                <w:kern w:val="0"/>
                <w:sz w:val="24"/>
                <w:szCs w:val="24"/>
              </w:rPr>
            </w:pPr>
          </w:p>
        </w:tc>
        <w:tc>
          <w:tcPr>
            <w:tcW w:w="2603" w:type="dxa"/>
            <w:vMerge/>
            <w:tcBorders>
              <w:top w:val="single" w:sz="4" w:space="0" w:color="auto"/>
              <w:left w:val="single" w:sz="4" w:space="0" w:color="auto"/>
              <w:bottom w:val="single" w:sz="4" w:space="0" w:color="auto"/>
              <w:right w:val="single" w:sz="4" w:space="0" w:color="auto"/>
            </w:tcBorders>
            <w:vAlign w:val="center"/>
          </w:tcPr>
          <w:p w:rsidR="00AC3C56" w:rsidRDefault="00AC3C56">
            <w:pPr>
              <w:widowControl/>
              <w:jc w:val="left"/>
              <w:rPr>
                <w:b/>
                <w:sz w:val="24"/>
                <w:szCs w:val="24"/>
              </w:rPr>
            </w:pPr>
          </w:p>
        </w:tc>
      </w:tr>
      <w:tr w:rsidR="00AC3C56">
        <w:trPr>
          <w:trHeight w:val="305"/>
        </w:trPr>
        <w:tc>
          <w:tcPr>
            <w:tcW w:w="3952" w:type="dxa"/>
            <w:gridSpan w:val="4"/>
            <w:tcBorders>
              <w:top w:val="nil"/>
              <w:left w:val="single" w:sz="4" w:space="0" w:color="auto"/>
              <w:bottom w:val="single" w:sz="4" w:space="0" w:color="auto"/>
              <w:right w:val="nil"/>
            </w:tcBorders>
            <w:vAlign w:val="center"/>
          </w:tcPr>
          <w:p w:rsidR="00AC3C56" w:rsidRDefault="00D4630C">
            <w:pPr>
              <w:widowControl/>
              <w:adjustRightInd w:val="0"/>
              <w:snapToGrid w:val="0"/>
              <w:rPr>
                <w:rFonts w:cs="宋体"/>
                <w:kern w:val="0"/>
                <w:sz w:val="24"/>
                <w:szCs w:val="24"/>
              </w:rPr>
            </w:pPr>
            <w:r>
              <w:rPr>
                <w:rFonts w:cs="宋体" w:hint="eastAsia"/>
                <w:kern w:val="0"/>
                <w:sz w:val="24"/>
                <w:szCs w:val="24"/>
              </w:rPr>
              <w:t>人民币金额（大写）</w:t>
            </w:r>
          </w:p>
        </w:tc>
        <w:tc>
          <w:tcPr>
            <w:tcW w:w="5138" w:type="dxa"/>
            <w:gridSpan w:val="3"/>
            <w:tcBorders>
              <w:top w:val="single" w:sz="4" w:space="0" w:color="auto"/>
              <w:left w:val="single" w:sz="4" w:space="0" w:color="auto"/>
              <w:bottom w:val="single" w:sz="4" w:space="0" w:color="auto"/>
              <w:right w:val="single" w:sz="4" w:space="0" w:color="auto"/>
            </w:tcBorders>
            <w:vAlign w:val="center"/>
          </w:tcPr>
          <w:p w:rsidR="00AC3C56" w:rsidRDefault="00AC3C56">
            <w:pPr>
              <w:widowControl/>
              <w:rPr>
                <w:sz w:val="24"/>
                <w:szCs w:val="24"/>
              </w:rPr>
            </w:pPr>
          </w:p>
        </w:tc>
      </w:tr>
    </w:tbl>
    <w:p w:rsidR="00AC3C56" w:rsidRDefault="00D4630C">
      <w:pPr>
        <w:pStyle w:val="1"/>
        <w:numPr>
          <w:ilvl w:val="0"/>
          <w:numId w:val="1"/>
        </w:numPr>
        <w:adjustRightInd w:val="0"/>
        <w:snapToGrid w:val="0"/>
        <w:ind w:left="0" w:firstLineChars="0" w:firstLine="0"/>
        <w:rPr>
          <w:rFonts w:ascii="仿宋" w:eastAsia="仿宋" w:hAnsi="仿宋"/>
          <w:color w:val="000000"/>
          <w:sz w:val="24"/>
          <w:szCs w:val="24"/>
        </w:rPr>
      </w:pPr>
      <w:r>
        <w:rPr>
          <w:rFonts w:ascii="仿宋" w:eastAsia="仿宋" w:hAnsi="仿宋" w:hint="eastAsia"/>
          <w:color w:val="000000"/>
          <w:sz w:val="24"/>
          <w:szCs w:val="24"/>
        </w:rPr>
        <w:t>质量标准：按（GB1103.1-2023）《棉花锯齿加工细绒棉》、《2026年中央储备棉出库公证检验实施细则》及有关规定执行。</w:t>
      </w:r>
    </w:p>
    <w:p w:rsidR="00AC3C56" w:rsidRDefault="00D4630C">
      <w:pPr>
        <w:pStyle w:val="1"/>
        <w:numPr>
          <w:ilvl w:val="0"/>
          <w:numId w:val="1"/>
        </w:numPr>
        <w:adjustRightInd w:val="0"/>
        <w:snapToGrid w:val="0"/>
        <w:ind w:firstLineChars="0"/>
        <w:rPr>
          <w:rFonts w:ascii="仿宋" w:eastAsia="仿宋" w:hAnsi="仿宋"/>
          <w:color w:val="000000"/>
          <w:sz w:val="24"/>
          <w:szCs w:val="24"/>
        </w:rPr>
      </w:pPr>
      <w:r>
        <w:rPr>
          <w:rFonts w:ascii="仿宋" w:eastAsia="仿宋" w:hAnsi="仿宋" w:hint="eastAsia"/>
          <w:color w:val="000000"/>
          <w:sz w:val="24"/>
          <w:szCs w:val="24"/>
        </w:rPr>
        <w:t>验收办法：按相关检验机构出具的公证检验证书及有关公告规定验收。</w:t>
      </w:r>
    </w:p>
    <w:p w:rsidR="00AC3C56" w:rsidRDefault="00D4630C">
      <w:pPr>
        <w:pStyle w:val="1"/>
        <w:adjustRightInd w:val="0"/>
        <w:snapToGrid w:val="0"/>
        <w:ind w:firstLineChars="0" w:firstLine="0"/>
        <w:rPr>
          <w:rFonts w:ascii="仿宋" w:eastAsia="仿宋" w:hAnsi="仿宋"/>
          <w:color w:val="000000"/>
          <w:sz w:val="24"/>
          <w:szCs w:val="24"/>
        </w:rPr>
      </w:pPr>
      <w:r>
        <w:rPr>
          <w:rFonts w:ascii="仿宋" w:eastAsia="仿宋" w:hAnsi="仿宋" w:hint="eastAsia"/>
          <w:b/>
          <w:bCs/>
          <w:color w:val="000000"/>
          <w:sz w:val="24"/>
          <w:szCs w:val="24"/>
        </w:rPr>
        <w:t>第五条</w:t>
      </w:r>
      <w:r>
        <w:rPr>
          <w:rFonts w:ascii="仿宋" w:eastAsia="仿宋" w:hAnsi="仿宋" w:hint="eastAsia"/>
          <w:color w:val="000000"/>
          <w:sz w:val="24"/>
          <w:szCs w:val="24"/>
        </w:rPr>
        <w:t xml:space="preserve"> 提货方式：本合同项下货物所有权自出卖人将《中央储备棉出库单》或电子验证码交付买受人时转移至买受人。买受人自提。出库费由买受人自理。</w:t>
      </w:r>
    </w:p>
    <w:p w:rsidR="00AC3C56" w:rsidRDefault="00D4630C">
      <w:pPr>
        <w:pStyle w:val="1"/>
        <w:adjustRightInd w:val="0"/>
        <w:snapToGrid w:val="0"/>
        <w:ind w:firstLineChars="0" w:firstLine="0"/>
        <w:rPr>
          <w:rFonts w:ascii="仿宋" w:eastAsia="仿宋" w:hAnsi="仿宋"/>
          <w:color w:val="000000"/>
          <w:sz w:val="24"/>
          <w:szCs w:val="24"/>
        </w:rPr>
      </w:pPr>
      <w:r>
        <w:rPr>
          <w:rFonts w:ascii="仿宋" w:eastAsia="仿宋" w:hAnsi="仿宋" w:hint="eastAsia"/>
          <w:b/>
          <w:bCs/>
          <w:color w:val="000000"/>
          <w:sz w:val="24"/>
          <w:szCs w:val="24"/>
        </w:rPr>
        <w:t>第六条</w:t>
      </w:r>
      <w:r>
        <w:rPr>
          <w:rFonts w:ascii="仿宋" w:eastAsia="仿宋" w:hAnsi="仿宋" w:hint="eastAsia"/>
          <w:color w:val="000000"/>
          <w:sz w:val="24"/>
          <w:szCs w:val="24"/>
        </w:rPr>
        <w:t xml:space="preserve"> 运输方式：买受人负责运输，费用及风险自理，出卖人可代办运输。</w:t>
      </w:r>
    </w:p>
    <w:p w:rsidR="00AC3C56" w:rsidRDefault="00D4630C">
      <w:pPr>
        <w:pStyle w:val="1"/>
        <w:adjustRightInd w:val="0"/>
        <w:snapToGrid w:val="0"/>
        <w:ind w:firstLineChars="0" w:firstLine="0"/>
        <w:rPr>
          <w:rFonts w:ascii="仿宋" w:eastAsia="仿宋" w:hAnsi="仿宋"/>
          <w:color w:val="000000"/>
          <w:sz w:val="24"/>
          <w:szCs w:val="24"/>
        </w:rPr>
      </w:pPr>
      <w:r>
        <w:rPr>
          <w:rFonts w:ascii="仿宋" w:eastAsia="仿宋" w:hAnsi="仿宋" w:hint="eastAsia"/>
          <w:b/>
          <w:color w:val="000000"/>
          <w:sz w:val="24"/>
          <w:szCs w:val="24"/>
        </w:rPr>
        <w:t xml:space="preserve">第七条 </w:t>
      </w:r>
      <w:r>
        <w:rPr>
          <w:rFonts w:ascii="仿宋" w:eastAsia="仿宋" w:hAnsi="仿宋" w:hint="eastAsia"/>
          <w:color w:val="000000"/>
          <w:sz w:val="24"/>
          <w:szCs w:val="24"/>
        </w:rPr>
        <w:t>货款支付方式、期限及结算：买受人自交易成交后次日起5个工作日内，按合同载明的金额和出卖人账号向出卖人支付货款，超过5个工作日未收到货款视同买受人违约。出卖人不接受承兑汇票和代付款。出卖人在收到货款后向买受人开具《中央储备棉出库单》或</w:t>
      </w:r>
      <w:r>
        <w:rPr>
          <w:rFonts w:ascii="仿宋" w:eastAsia="仿宋" w:hAnsi="仿宋" w:hint="eastAsia"/>
          <w:sz w:val="24"/>
          <w:szCs w:val="24"/>
        </w:rPr>
        <w:t>提供</w:t>
      </w:r>
      <w:r>
        <w:rPr>
          <w:rFonts w:ascii="仿宋" w:eastAsia="仿宋" w:hAnsi="仿宋" w:hint="eastAsia"/>
          <w:color w:val="000000"/>
          <w:sz w:val="24"/>
          <w:szCs w:val="24"/>
        </w:rPr>
        <w:t>电子验证码。买受人对所购买棉花验收无异议，且提货完毕后，出卖人开具增值税发票。</w:t>
      </w:r>
    </w:p>
    <w:p w:rsidR="00AC3C56" w:rsidRDefault="00D4630C">
      <w:pPr>
        <w:pStyle w:val="1"/>
        <w:numPr>
          <w:ilvl w:val="0"/>
          <w:numId w:val="2"/>
        </w:numPr>
        <w:adjustRightInd w:val="0"/>
        <w:snapToGrid w:val="0"/>
        <w:ind w:left="0" w:firstLineChars="0" w:firstLine="0"/>
        <w:rPr>
          <w:rFonts w:ascii="仿宋" w:eastAsia="仿宋" w:hAnsi="仿宋"/>
          <w:color w:val="000000"/>
          <w:sz w:val="24"/>
          <w:szCs w:val="24"/>
        </w:rPr>
      </w:pPr>
      <w:r>
        <w:rPr>
          <w:rFonts w:ascii="仿宋" w:eastAsia="仿宋" w:hAnsi="仿宋" w:hint="eastAsia"/>
          <w:color w:val="000000"/>
          <w:sz w:val="24"/>
          <w:szCs w:val="24"/>
        </w:rPr>
        <w:t>履约保证金：经</w:t>
      </w:r>
      <w:r>
        <w:rPr>
          <w:rFonts w:ascii="仿宋" w:eastAsia="仿宋" w:hAnsi="仿宋" w:hint="eastAsia"/>
          <w:color w:val="000000" w:themeColor="text1"/>
          <w:sz w:val="24"/>
          <w:szCs w:val="24"/>
        </w:rPr>
        <w:t>双方认可同意，各自向全国棉花交易市场交纳履约保证金人民币1</w:t>
      </w:r>
      <w:r>
        <w:rPr>
          <w:rFonts w:ascii="仿宋" w:eastAsia="仿宋" w:hAnsi="仿宋" w:hint="eastAsia"/>
          <w:color w:val="000000"/>
          <w:sz w:val="24"/>
          <w:szCs w:val="24"/>
        </w:rPr>
        <w:t>000元/吨。如合同执行完毕，双方没有异议，由全国棉花交易市场退还各自的履约保证金。如一方有违约行为，按第九条规定，由全国棉花交易市场负责从违约方的履约保证金中扣除相应的金额给另一方。</w:t>
      </w:r>
    </w:p>
    <w:p w:rsidR="00AC3C56" w:rsidRDefault="00D4630C">
      <w:pPr>
        <w:pStyle w:val="1"/>
        <w:numPr>
          <w:ilvl w:val="0"/>
          <w:numId w:val="2"/>
        </w:numPr>
        <w:adjustRightInd w:val="0"/>
        <w:snapToGrid w:val="0"/>
        <w:ind w:firstLineChars="0"/>
        <w:rPr>
          <w:rFonts w:ascii="仿宋" w:eastAsia="仿宋" w:hAnsi="仿宋"/>
          <w:color w:val="000000"/>
          <w:sz w:val="24"/>
          <w:szCs w:val="24"/>
        </w:rPr>
      </w:pPr>
      <w:r>
        <w:rPr>
          <w:rFonts w:ascii="仿宋" w:eastAsia="仿宋" w:hAnsi="仿宋" w:hint="eastAsia"/>
          <w:color w:val="000000"/>
          <w:sz w:val="24"/>
          <w:szCs w:val="24"/>
        </w:rPr>
        <w:t>违约责任：</w:t>
      </w:r>
    </w:p>
    <w:p w:rsidR="00AC3C56" w:rsidRDefault="00D4630C">
      <w:pPr>
        <w:pStyle w:val="1"/>
        <w:numPr>
          <w:ilvl w:val="0"/>
          <w:numId w:val="3"/>
        </w:numPr>
        <w:adjustRightInd w:val="0"/>
        <w:snapToGrid w:val="0"/>
        <w:ind w:left="0" w:firstLineChars="0" w:firstLine="426"/>
        <w:rPr>
          <w:rFonts w:ascii="仿宋" w:eastAsia="仿宋" w:hAnsi="仿宋"/>
          <w:color w:val="000000"/>
          <w:sz w:val="24"/>
          <w:szCs w:val="24"/>
        </w:rPr>
      </w:pPr>
      <w:r>
        <w:rPr>
          <w:rFonts w:ascii="仿宋" w:eastAsia="仿宋" w:hAnsi="仿宋" w:hint="eastAsia"/>
          <w:color w:val="000000"/>
          <w:sz w:val="24"/>
          <w:szCs w:val="24"/>
        </w:rPr>
        <w:t>买受人未按合同第七条付款，超过合同规定付款期限之日起，出卖人有权单方解除合同，买受人应按未履行的合同数量按人民币1000元/吨的标准向出卖人偿付违约金。违约金由出卖人上交国家财政。</w:t>
      </w:r>
    </w:p>
    <w:p w:rsidR="00AC3C56" w:rsidRDefault="00D4630C">
      <w:pPr>
        <w:pStyle w:val="1"/>
        <w:numPr>
          <w:ilvl w:val="0"/>
          <w:numId w:val="3"/>
        </w:numPr>
        <w:adjustRightInd w:val="0"/>
        <w:snapToGrid w:val="0"/>
        <w:ind w:left="0" w:firstLineChars="0" w:firstLine="426"/>
        <w:rPr>
          <w:rFonts w:ascii="仿宋" w:eastAsia="仿宋" w:hAnsi="仿宋"/>
          <w:color w:val="000000"/>
          <w:sz w:val="24"/>
          <w:szCs w:val="24"/>
        </w:rPr>
      </w:pPr>
      <w:r>
        <w:rPr>
          <w:rFonts w:ascii="仿宋" w:eastAsia="仿宋" w:hAnsi="仿宋" w:hint="eastAsia"/>
          <w:color w:val="000000"/>
          <w:sz w:val="24"/>
          <w:szCs w:val="24"/>
        </w:rPr>
        <w:t>买受人已支付货款，出卖人未按合同交货，并未能及时纠正的，买受人有权单方解除合同。合同终止后，出卖人应于10个工作日内退还货款，并按中国人民银行同期存款利率标准，支付已预付货款的利息。</w:t>
      </w:r>
    </w:p>
    <w:p w:rsidR="00AC3C56" w:rsidRDefault="00D4630C">
      <w:pPr>
        <w:pStyle w:val="1"/>
        <w:numPr>
          <w:ilvl w:val="0"/>
          <w:numId w:val="3"/>
        </w:numPr>
        <w:adjustRightInd w:val="0"/>
        <w:snapToGrid w:val="0"/>
        <w:ind w:left="0" w:firstLineChars="0" w:firstLine="426"/>
        <w:rPr>
          <w:rFonts w:ascii="仿宋" w:eastAsia="仿宋" w:hAnsi="仿宋"/>
          <w:color w:val="000000"/>
          <w:sz w:val="24"/>
          <w:szCs w:val="24"/>
        </w:rPr>
      </w:pPr>
      <w:r>
        <w:rPr>
          <w:rFonts w:ascii="仿宋" w:eastAsia="仿宋" w:hAnsi="仿宋" w:hint="eastAsia"/>
          <w:color w:val="000000"/>
          <w:sz w:val="24"/>
          <w:szCs w:val="24"/>
        </w:rPr>
        <w:t>买受人须于出卖人开具《中央储备棉出库单》或提供电子验证码之日起10个工作日（含）内提货完毕。买受人10个工作日（含）内因买方原因未完成提货的，买受人应与承储仓库签订商品棉保管合同,全部仓库费用包括但不限于仓储费等及货物毁损灭失风险由买受人承担。</w:t>
      </w:r>
    </w:p>
    <w:p w:rsidR="00AC3C56" w:rsidRDefault="00D4630C">
      <w:pPr>
        <w:pStyle w:val="1"/>
        <w:numPr>
          <w:ilvl w:val="0"/>
          <w:numId w:val="3"/>
        </w:numPr>
        <w:adjustRightInd w:val="0"/>
        <w:snapToGrid w:val="0"/>
        <w:ind w:left="0" w:firstLineChars="0" w:firstLine="426"/>
        <w:rPr>
          <w:rFonts w:ascii="仿宋" w:eastAsia="仿宋" w:hAnsi="仿宋"/>
          <w:color w:val="000000"/>
          <w:sz w:val="24"/>
          <w:szCs w:val="24"/>
        </w:rPr>
      </w:pPr>
      <w:r>
        <w:rPr>
          <w:rFonts w:ascii="仿宋" w:eastAsia="仿宋" w:hAnsi="仿宋" w:hint="eastAsia"/>
          <w:color w:val="000000"/>
          <w:sz w:val="24"/>
          <w:szCs w:val="24"/>
        </w:rPr>
        <w:t>因不可抗力不能执行本合同或需修改合同时，需经双方协商认可并报全国棉花交易市场备案或见证。</w:t>
      </w:r>
    </w:p>
    <w:p w:rsidR="00AC3C56" w:rsidRDefault="00D4630C">
      <w:pPr>
        <w:pStyle w:val="1"/>
        <w:numPr>
          <w:ilvl w:val="0"/>
          <w:numId w:val="2"/>
        </w:numPr>
        <w:adjustRightInd w:val="0"/>
        <w:snapToGrid w:val="0"/>
        <w:ind w:left="0" w:firstLineChars="0" w:firstLine="0"/>
        <w:rPr>
          <w:rFonts w:ascii="仿宋" w:eastAsia="仿宋" w:hAnsi="仿宋"/>
          <w:color w:val="000000"/>
          <w:sz w:val="24"/>
          <w:szCs w:val="24"/>
        </w:rPr>
      </w:pPr>
      <w:r>
        <w:rPr>
          <w:rFonts w:ascii="仿宋" w:eastAsia="仿宋" w:hAnsi="仿宋" w:hint="eastAsia"/>
          <w:color w:val="000000"/>
          <w:sz w:val="24"/>
          <w:szCs w:val="24"/>
        </w:rPr>
        <w:t>合同履行中发生争议可由当事人双方协商解决；协商不成，可报请全国棉花交易市场调解；协商或调解不成，当事人双方一致同意向出卖人所在地有管</w:t>
      </w:r>
      <w:r>
        <w:rPr>
          <w:rFonts w:ascii="仿宋" w:eastAsia="仿宋" w:hAnsi="仿宋" w:hint="eastAsia"/>
          <w:color w:val="000000"/>
          <w:sz w:val="24"/>
          <w:szCs w:val="24"/>
        </w:rPr>
        <w:lastRenderedPageBreak/>
        <w:t>辖权的人民法院提起诉讼。</w:t>
      </w:r>
    </w:p>
    <w:p w:rsidR="00AC3C56" w:rsidRDefault="00D4630C">
      <w:pPr>
        <w:adjustRightInd w:val="0"/>
        <w:snapToGrid w:val="0"/>
        <w:rPr>
          <w:sz w:val="24"/>
          <w:szCs w:val="24"/>
        </w:rPr>
      </w:pPr>
      <w:r>
        <w:rPr>
          <w:rFonts w:hint="eastAsia"/>
          <w:b/>
          <w:sz w:val="24"/>
          <w:szCs w:val="24"/>
        </w:rPr>
        <w:t xml:space="preserve">第十一条  </w:t>
      </w:r>
      <w:r>
        <w:rPr>
          <w:rFonts w:hint="eastAsia"/>
          <w:sz w:val="24"/>
          <w:szCs w:val="24"/>
        </w:rPr>
        <w:t>《</w:t>
      </w:r>
      <w:hyperlink r:id="rId8" w:history="1">
        <w:r>
          <w:rPr>
            <w:rStyle w:val="a3"/>
            <w:rFonts w:hint="eastAsia"/>
            <w:color w:val="000000"/>
            <w:sz w:val="24"/>
            <w:szCs w:val="24"/>
            <w:u w:val="none"/>
          </w:rPr>
          <w:t>2026年中央储备棉销售竞价交易办法</w:t>
        </w:r>
      </w:hyperlink>
      <w:r>
        <w:rPr>
          <w:rFonts w:hint="eastAsia"/>
          <w:sz w:val="24"/>
          <w:szCs w:val="24"/>
        </w:rPr>
        <w:t>》、《2026年中央储备棉</w:t>
      </w:r>
      <w:r>
        <w:rPr>
          <w:rFonts w:hint="eastAsia"/>
          <w:color w:val="auto"/>
          <w:sz w:val="24"/>
          <w:szCs w:val="24"/>
        </w:rPr>
        <w:t>销售</w:t>
      </w:r>
      <w:r>
        <w:rPr>
          <w:rFonts w:hint="eastAsia"/>
          <w:sz w:val="24"/>
          <w:szCs w:val="24"/>
        </w:rPr>
        <w:t>实施细则》、</w:t>
      </w:r>
      <w:r>
        <w:rPr>
          <w:rFonts w:hint="eastAsia"/>
          <w:color w:val="auto"/>
          <w:sz w:val="24"/>
          <w:szCs w:val="24"/>
        </w:rPr>
        <w:t>《2026年中央储备棉出库公证检验实施细则》</w:t>
      </w:r>
      <w:r>
        <w:rPr>
          <w:rFonts w:hint="eastAsia"/>
          <w:sz w:val="24"/>
          <w:szCs w:val="24"/>
        </w:rPr>
        <w:t>及中国棉花网（www.cncotton.com）或全国棉花交易市场官网（www.cnce.cn）或中国棉花信息网（www.cottonchina.org.cn）适时发布的相关规定与本合同具有同等法律效力。</w:t>
      </w:r>
    </w:p>
    <w:p w:rsidR="00AC3C56" w:rsidRDefault="00D4630C">
      <w:pPr>
        <w:adjustRightInd w:val="0"/>
        <w:snapToGrid w:val="0"/>
        <w:rPr>
          <w:sz w:val="24"/>
          <w:szCs w:val="24"/>
        </w:rPr>
      </w:pPr>
      <w:r>
        <w:rPr>
          <w:rFonts w:hint="eastAsia"/>
          <w:b/>
          <w:sz w:val="24"/>
          <w:szCs w:val="24"/>
        </w:rPr>
        <w:t xml:space="preserve">第十二条  </w:t>
      </w:r>
      <w:r>
        <w:rPr>
          <w:rFonts w:hint="eastAsia"/>
          <w:sz w:val="24"/>
          <w:szCs w:val="24"/>
        </w:rPr>
        <w:t>其他事项：</w:t>
      </w:r>
    </w:p>
    <w:p w:rsidR="00AC3C56" w:rsidRDefault="00D4630C">
      <w:pPr>
        <w:adjustRightInd w:val="0"/>
        <w:snapToGrid w:val="0"/>
        <w:ind w:firstLineChars="200" w:firstLine="480"/>
        <w:rPr>
          <w:sz w:val="24"/>
          <w:szCs w:val="24"/>
        </w:rPr>
      </w:pPr>
      <w:r>
        <w:rPr>
          <w:rFonts w:hint="eastAsia"/>
          <w:sz w:val="24"/>
          <w:szCs w:val="24"/>
        </w:rPr>
        <w:t>（一）买受人如对购买的中央储备棉质量和重量检验结果有异议，原则上应在《中央储备棉出库单》</w:t>
      </w:r>
      <w:r>
        <w:rPr>
          <w:rFonts w:hint="eastAsia"/>
          <w:color w:val="auto"/>
          <w:sz w:val="24"/>
          <w:szCs w:val="24"/>
        </w:rPr>
        <w:t>出具之日起的1</w:t>
      </w:r>
      <w:r>
        <w:rPr>
          <w:color w:val="auto"/>
          <w:sz w:val="24"/>
          <w:szCs w:val="24"/>
        </w:rPr>
        <w:t>5</w:t>
      </w:r>
      <w:r>
        <w:rPr>
          <w:rFonts w:hint="eastAsia"/>
          <w:color w:val="auto"/>
          <w:sz w:val="24"/>
          <w:szCs w:val="24"/>
        </w:rPr>
        <w:t>个工作日内向全国棉花交易市场提交复检或重新公证检验申请，全国棉花交易市场经初审符合申请条件的，及时转交中国纤维质量监测中心，中国纤维质量监测中心指定复检或重新公证检验机构按买受人申请项目进行复检或重新公证检验；超出1</w:t>
      </w:r>
      <w:r>
        <w:rPr>
          <w:color w:val="auto"/>
          <w:sz w:val="24"/>
          <w:szCs w:val="24"/>
        </w:rPr>
        <w:t>5</w:t>
      </w:r>
      <w:r>
        <w:rPr>
          <w:rFonts w:hint="eastAsia"/>
          <w:color w:val="auto"/>
          <w:sz w:val="24"/>
          <w:szCs w:val="24"/>
        </w:rPr>
        <w:t>个工作日的，视为质量和重量符合要求。</w:t>
      </w:r>
      <w:r>
        <w:rPr>
          <w:rFonts w:hint="eastAsia"/>
          <w:sz w:val="24"/>
          <w:szCs w:val="24"/>
        </w:rPr>
        <w:t>具体按《2026年中央储备棉出库公证检验实施细则》、《</w:t>
      </w:r>
      <w:hyperlink r:id="rId9" w:history="1">
        <w:r>
          <w:rPr>
            <w:rStyle w:val="a3"/>
            <w:rFonts w:hint="eastAsia"/>
            <w:color w:val="000000"/>
            <w:sz w:val="24"/>
            <w:szCs w:val="24"/>
            <w:u w:val="none"/>
          </w:rPr>
          <w:t>2026年中央储备棉销售竞价交易办法</w:t>
        </w:r>
      </w:hyperlink>
      <w:r>
        <w:rPr>
          <w:rFonts w:hint="eastAsia"/>
          <w:sz w:val="24"/>
          <w:szCs w:val="24"/>
        </w:rPr>
        <w:t>》、《2026年中央储备棉</w:t>
      </w:r>
      <w:r>
        <w:rPr>
          <w:rFonts w:hint="eastAsia"/>
          <w:color w:val="auto"/>
          <w:sz w:val="24"/>
          <w:szCs w:val="24"/>
        </w:rPr>
        <w:t>销售</w:t>
      </w:r>
      <w:r>
        <w:rPr>
          <w:rFonts w:hint="eastAsia"/>
          <w:sz w:val="24"/>
          <w:szCs w:val="24"/>
        </w:rPr>
        <w:t>实施细则》和有关规定处理。</w:t>
      </w:r>
    </w:p>
    <w:p w:rsidR="00AC3C56" w:rsidRDefault="00D4630C">
      <w:pPr>
        <w:adjustRightInd w:val="0"/>
        <w:snapToGrid w:val="0"/>
        <w:ind w:firstLineChars="200" w:firstLine="480"/>
        <w:rPr>
          <w:sz w:val="24"/>
          <w:szCs w:val="24"/>
        </w:rPr>
      </w:pPr>
      <w:r>
        <w:rPr>
          <w:rFonts w:hint="eastAsia"/>
          <w:sz w:val="24"/>
          <w:szCs w:val="24"/>
        </w:rPr>
        <w:t>（二）出卖人交货是指出卖人在确认收到买受人货款后开具《中央储备棉出库单》或提供电子验证码，同时向承储仓库发出出库通知。承储仓库根据出库量情况及时安排合同项下货物出库。</w:t>
      </w:r>
    </w:p>
    <w:p w:rsidR="00AC3C56" w:rsidRDefault="00D4630C">
      <w:pPr>
        <w:adjustRightInd w:val="0"/>
        <w:snapToGrid w:val="0"/>
        <w:ind w:firstLineChars="200" w:firstLine="480"/>
        <w:rPr>
          <w:sz w:val="24"/>
          <w:szCs w:val="24"/>
        </w:rPr>
      </w:pPr>
      <w:r>
        <w:rPr>
          <w:rFonts w:hint="eastAsia"/>
          <w:sz w:val="24"/>
          <w:szCs w:val="24"/>
        </w:rPr>
        <w:t>（三）未尽事宜，双方协商解决。</w:t>
      </w:r>
    </w:p>
    <w:p w:rsidR="00AC3C56" w:rsidRDefault="00D4630C">
      <w:pPr>
        <w:adjustRightInd w:val="0"/>
        <w:snapToGrid w:val="0"/>
        <w:rPr>
          <w:sz w:val="24"/>
          <w:szCs w:val="24"/>
        </w:rPr>
      </w:pPr>
      <w:r>
        <w:rPr>
          <w:rFonts w:hint="eastAsia"/>
          <w:b/>
          <w:sz w:val="24"/>
          <w:szCs w:val="24"/>
        </w:rPr>
        <w:t xml:space="preserve">第十三条  </w:t>
      </w:r>
      <w:r>
        <w:rPr>
          <w:rFonts w:hint="eastAsia"/>
          <w:sz w:val="24"/>
          <w:szCs w:val="24"/>
        </w:rPr>
        <w:t>本合同由全国棉花交易市场给出唯一编号，经出卖人和买受人盖章以及全国棉花交易市场加盖见证专用章后生效。</w:t>
      </w:r>
    </w:p>
    <w:p w:rsidR="00AC3C56" w:rsidRDefault="00D4630C">
      <w:pPr>
        <w:adjustRightInd w:val="0"/>
        <w:snapToGrid w:val="0"/>
        <w:rPr>
          <w:sz w:val="24"/>
          <w:szCs w:val="24"/>
        </w:rPr>
      </w:pPr>
      <w:r>
        <w:rPr>
          <w:rFonts w:hint="eastAsia"/>
          <w:b/>
          <w:sz w:val="24"/>
          <w:szCs w:val="24"/>
        </w:rPr>
        <w:t xml:space="preserve">第十四条　</w:t>
      </w:r>
      <w:r>
        <w:rPr>
          <w:rFonts w:hint="eastAsia"/>
          <w:sz w:val="24"/>
          <w:szCs w:val="24"/>
        </w:rPr>
        <w:t>本合同一式三份，出卖人、买受人各一份，全国棉花交易市场见证一份，具有同等法律效力。</w:t>
      </w:r>
    </w:p>
    <w:p w:rsidR="00AC3C56" w:rsidRDefault="00D4630C">
      <w:pPr>
        <w:adjustRightInd w:val="0"/>
        <w:snapToGrid w:val="0"/>
        <w:rPr>
          <w:sz w:val="24"/>
          <w:szCs w:val="24"/>
        </w:rPr>
      </w:pPr>
      <w:r>
        <w:rPr>
          <w:rFonts w:hint="eastAsia"/>
          <w:sz w:val="24"/>
          <w:szCs w:val="24"/>
        </w:rPr>
        <w:t>（以下无正文）。</w:t>
      </w:r>
    </w:p>
    <w:p w:rsidR="00AC3C56" w:rsidRDefault="00AC3C56">
      <w:pPr>
        <w:adjustRightInd w:val="0"/>
        <w:snapToGrid w:val="0"/>
        <w:rPr>
          <w:sz w:val="24"/>
          <w:szCs w:val="24"/>
        </w:rPr>
      </w:pPr>
    </w:p>
    <w:p w:rsidR="00AC3C56" w:rsidRDefault="00AC3C56">
      <w:pPr>
        <w:adjustRightInd w:val="0"/>
        <w:snapToGrid w:val="0"/>
        <w:rPr>
          <w:sz w:val="24"/>
          <w:szCs w:val="24"/>
        </w:rPr>
      </w:pPr>
    </w:p>
    <w:p w:rsidR="00AC3C56" w:rsidRDefault="00AC3C56">
      <w:pPr>
        <w:adjustRightInd w:val="0"/>
        <w:snapToGrid w:val="0"/>
        <w:rPr>
          <w:sz w:val="24"/>
          <w:szCs w:val="24"/>
        </w:rPr>
      </w:pPr>
    </w:p>
    <w:p w:rsidR="00AC3C56" w:rsidRDefault="00AC3C56">
      <w:pPr>
        <w:adjustRightInd w:val="0"/>
        <w:snapToGrid w:val="0"/>
        <w:rPr>
          <w:sz w:val="24"/>
          <w:szCs w:val="24"/>
        </w:rPr>
      </w:pPr>
    </w:p>
    <w:p w:rsidR="00AC3C56" w:rsidRDefault="00AC3C56">
      <w:pPr>
        <w:adjustRightInd w:val="0"/>
        <w:snapToGrid w:val="0"/>
        <w:spacing w:line="400" w:lineRule="exact"/>
        <w:rPr>
          <w:sz w:val="24"/>
          <w:szCs w:val="24"/>
        </w:rPr>
      </w:pPr>
    </w:p>
    <w:p w:rsidR="00AC3C56" w:rsidRDefault="00D4630C">
      <w:pPr>
        <w:adjustRightInd w:val="0"/>
        <w:snapToGrid w:val="0"/>
        <w:rPr>
          <w:sz w:val="24"/>
          <w:szCs w:val="24"/>
        </w:rPr>
      </w:pPr>
      <w:r>
        <w:rPr>
          <w:rFonts w:hint="eastAsia"/>
          <w:sz w:val="24"/>
          <w:szCs w:val="24"/>
        </w:rPr>
        <w:t>出卖人(章):</w:t>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Pr>
          <w:rFonts w:hint="eastAsia"/>
          <w:sz w:val="24"/>
          <w:szCs w:val="24"/>
        </w:rPr>
        <w:t xml:space="preserve"> 买受人(章):</w:t>
      </w:r>
    </w:p>
    <w:p w:rsidR="00AC3C56" w:rsidRDefault="00D4630C">
      <w:pPr>
        <w:adjustRightInd w:val="0"/>
        <w:snapToGrid w:val="0"/>
        <w:rPr>
          <w:sz w:val="24"/>
          <w:szCs w:val="24"/>
        </w:rPr>
      </w:pPr>
      <w:r>
        <w:rPr>
          <w:rFonts w:hint="eastAsia"/>
          <w:sz w:val="24"/>
          <w:szCs w:val="24"/>
        </w:rPr>
        <w:t>地址:</w:t>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Pr>
          <w:rFonts w:hint="eastAsia"/>
          <w:sz w:val="24"/>
          <w:szCs w:val="24"/>
        </w:rPr>
        <w:t xml:space="preserve">        地址:</w:t>
      </w:r>
    </w:p>
    <w:p w:rsidR="00AC3C56" w:rsidRDefault="00AC3C56">
      <w:pPr>
        <w:adjustRightInd w:val="0"/>
        <w:snapToGrid w:val="0"/>
        <w:rPr>
          <w:sz w:val="24"/>
          <w:szCs w:val="24"/>
        </w:rPr>
      </w:pPr>
    </w:p>
    <w:p w:rsidR="00AC3C56" w:rsidRDefault="00D4630C">
      <w:pPr>
        <w:adjustRightInd w:val="0"/>
        <w:snapToGrid w:val="0"/>
        <w:rPr>
          <w:sz w:val="24"/>
          <w:szCs w:val="24"/>
        </w:rPr>
      </w:pPr>
      <w:r>
        <w:rPr>
          <w:rFonts w:hint="eastAsia"/>
          <w:sz w:val="24"/>
          <w:szCs w:val="24"/>
        </w:rPr>
        <w:t>邮编:</w:t>
      </w:r>
      <w:r w:rsidR="00823B55">
        <w:rPr>
          <w:sz w:val="24"/>
          <w:szCs w:val="24"/>
        </w:rPr>
        <w:tab/>
      </w:r>
      <w:r w:rsidR="00823B55">
        <w:rPr>
          <w:sz w:val="24"/>
          <w:szCs w:val="24"/>
        </w:rPr>
        <w:tab/>
      </w:r>
      <w:r w:rsidR="00823B55">
        <w:rPr>
          <w:sz w:val="24"/>
          <w:szCs w:val="24"/>
        </w:rPr>
        <w:tab/>
      </w:r>
      <w:r>
        <w:rPr>
          <w:rFonts w:hint="eastAsia"/>
          <w:sz w:val="24"/>
          <w:szCs w:val="24"/>
        </w:rPr>
        <w:t xml:space="preserve">                      邮编:</w:t>
      </w:r>
    </w:p>
    <w:p w:rsidR="00AC3C56" w:rsidRDefault="00D4630C">
      <w:pPr>
        <w:adjustRightInd w:val="0"/>
        <w:snapToGrid w:val="0"/>
        <w:rPr>
          <w:sz w:val="24"/>
          <w:szCs w:val="24"/>
        </w:rPr>
      </w:pPr>
      <w:r>
        <w:rPr>
          <w:rFonts w:hint="eastAsia"/>
          <w:sz w:val="24"/>
          <w:szCs w:val="24"/>
        </w:rPr>
        <w:t xml:space="preserve">法定代表人:                     </w:t>
      </w:r>
      <w:r w:rsidR="00823B55">
        <w:rPr>
          <w:sz w:val="24"/>
          <w:szCs w:val="24"/>
        </w:rPr>
        <w:tab/>
        <w:t xml:space="preserve"> </w:t>
      </w:r>
      <w:r>
        <w:rPr>
          <w:rFonts w:hint="eastAsia"/>
          <w:sz w:val="24"/>
          <w:szCs w:val="24"/>
        </w:rPr>
        <w:t>法定代表人:</w:t>
      </w:r>
    </w:p>
    <w:p w:rsidR="00AC3C56" w:rsidRDefault="00D4630C">
      <w:pPr>
        <w:adjustRightInd w:val="0"/>
        <w:snapToGrid w:val="0"/>
        <w:rPr>
          <w:sz w:val="24"/>
          <w:szCs w:val="24"/>
        </w:rPr>
      </w:pPr>
      <w:r>
        <w:rPr>
          <w:rFonts w:hint="eastAsia"/>
          <w:sz w:val="24"/>
          <w:szCs w:val="24"/>
        </w:rPr>
        <w:t>委托人:                             委托人:                见证（章）：</w:t>
      </w:r>
    </w:p>
    <w:p w:rsidR="00AC3C56" w:rsidRDefault="00D4630C">
      <w:pPr>
        <w:adjustRightInd w:val="0"/>
        <w:snapToGrid w:val="0"/>
        <w:rPr>
          <w:sz w:val="24"/>
          <w:szCs w:val="24"/>
        </w:rPr>
      </w:pPr>
      <w:r>
        <w:rPr>
          <w:rFonts w:hint="eastAsia"/>
          <w:sz w:val="24"/>
          <w:szCs w:val="24"/>
        </w:rPr>
        <w:t>电话:</w:t>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t xml:space="preserve"> </w:t>
      </w:r>
      <w:bookmarkStart w:id="0" w:name="_GoBack"/>
      <w:bookmarkEnd w:id="0"/>
      <w:r w:rsidR="00823B55">
        <w:rPr>
          <w:rFonts w:hint="eastAsia"/>
          <w:sz w:val="24"/>
          <w:szCs w:val="24"/>
        </w:rPr>
        <w:t>电话:</w:t>
      </w:r>
    </w:p>
    <w:p w:rsidR="00AC3C56" w:rsidRDefault="00D4630C">
      <w:pPr>
        <w:adjustRightInd w:val="0"/>
        <w:snapToGrid w:val="0"/>
        <w:rPr>
          <w:sz w:val="24"/>
          <w:szCs w:val="24"/>
        </w:rPr>
      </w:pPr>
      <w:r>
        <w:rPr>
          <w:rFonts w:hint="eastAsia"/>
          <w:sz w:val="24"/>
          <w:szCs w:val="24"/>
        </w:rPr>
        <w:t>开户行:</w:t>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Pr>
          <w:rFonts w:hint="eastAsia"/>
          <w:sz w:val="24"/>
          <w:szCs w:val="24"/>
        </w:rPr>
        <w:t xml:space="preserve"> 开户行:</w:t>
      </w:r>
    </w:p>
    <w:p w:rsidR="00AC3C56" w:rsidRDefault="00D4630C">
      <w:pPr>
        <w:adjustRightInd w:val="0"/>
        <w:snapToGrid w:val="0"/>
        <w:rPr>
          <w:sz w:val="24"/>
          <w:szCs w:val="24"/>
        </w:rPr>
      </w:pPr>
      <w:r>
        <w:rPr>
          <w:rFonts w:hint="eastAsia"/>
          <w:sz w:val="24"/>
          <w:szCs w:val="24"/>
        </w:rPr>
        <w:t>行号：</w:t>
      </w:r>
      <w:r w:rsidR="00823B55">
        <w:rPr>
          <w:sz w:val="24"/>
          <w:szCs w:val="24"/>
        </w:rPr>
        <w:t xml:space="preserve"> </w:t>
      </w:r>
    </w:p>
    <w:p w:rsidR="00AC3C56" w:rsidRDefault="00D4630C">
      <w:pPr>
        <w:adjustRightInd w:val="0"/>
        <w:snapToGrid w:val="0"/>
        <w:rPr>
          <w:sz w:val="24"/>
          <w:szCs w:val="24"/>
        </w:rPr>
      </w:pPr>
      <w:r>
        <w:rPr>
          <w:rFonts w:hint="eastAsia"/>
          <w:sz w:val="24"/>
          <w:szCs w:val="24"/>
        </w:rPr>
        <w:t>账号:</w:t>
      </w:r>
      <w:r w:rsidR="00823B55">
        <w:rPr>
          <w:sz w:val="24"/>
          <w:szCs w:val="24"/>
        </w:rPr>
        <w:t xml:space="preserve"> </w:t>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sidR="00823B55">
        <w:rPr>
          <w:sz w:val="24"/>
          <w:szCs w:val="24"/>
        </w:rPr>
        <w:tab/>
      </w:r>
      <w:r>
        <w:rPr>
          <w:rFonts w:hint="eastAsia"/>
          <w:sz w:val="24"/>
          <w:szCs w:val="24"/>
        </w:rPr>
        <w:t xml:space="preserve">        账号:                  经办人：</w:t>
      </w:r>
    </w:p>
    <w:p w:rsidR="00AC3C56" w:rsidRDefault="00D4630C">
      <w:pPr>
        <w:adjustRightInd w:val="0"/>
        <w:snapToGrid w:val="0"/>
        <w:rPr>
          <w:sz w:val="24"/>
          <w:szCs w:val="24"/>
        </w:rPr>
      </w:pPr>
      <w:r>
        <w:rPr>
          <w:rFonts w:hint="eastAsia"/>
          <w:sz w:val="24"/>
          <w:szCs w:val="24"/>
        </w:rPr>
        <w:t>税号:</w:t>
      </w:r>
      <w:r w:rsidR="00823B55">
        <w:rPr>
          <w:sz w:val="24"/>
          <w:szCs w:val="24"/>
        </w:rPr>
        <w:tab/>
      </w:r>
      <w:r w:rsidR="00823B55">
        <w:rPr>
          <w:sz w:val="24"/>
          <w:szCs w:val="24"/>
        </w:rPr>
        <w:tab/>
      </w:r>
      <w:r w:rsidR="00823B55">
        <w:rPr>
          <w:sz w:val="24"/>
          <w:szCs w:val="24"/>
        </w:rPr>
        <w:tab/>
      </w:r>
      <w:r w:rsidR="00823B55">
        <w:rPr>
          <w:sz w:val="24"/>
          <w:szCs w:val="24"/>
        </w:rPr>
        <w:tab/>
        <w:t xml:space="preserve">  </w:t>
      </w:r>
      <w:r w:rsidR="00823B55">
        <w:rPr>
          <w:sz w:val="24"/>
          <w:szCs w:val="24"/>
        </w:rPr>
        <w:tab/>
      </w:r>
      <w:r>
        <w:rPr>
          <w:rFonts w:hint="eastAsia"/>
          <w:sz w:val="24"/>
          <w:szCs w:val="24"/>
        </w:rPr>
        <w:t xml:space="preserve">            </w:t>
      </w:r>
      <w:r w:rsidR="00823B55">
        <w:rPr>
          <w:sz w:val="24"/>
          <w:szCs w:val="24"/>
        </w:rPr>
        <w:t xml:space="preserve">   </w:t>
      </w:r>
      <w:r>
        <w:rPr>
          <w:rFonts w:hint="eastAsia"/>
          <w:sz w:val="24"/>
          <w:szCs w:val="24"/>
        </w:rPr>
        <w:t>税号:</w:t>
      </w:r>
    </w:p>
    <w:p w:rsidR="00AC3C56" w:rsidRDefault="00AC3C56">
      <w:pPr>
        <w:adjustRightInd w:val="0"/>
        <w:snapToGrid w:val="0"/>
        <w:rPr>
          <w:sz w:val="24"/>
          <w:szCs w:val="24"/>
        </w:rPr>
      </w:pPr>
    </w:p>
    <w:p w:rsidR="00AC3C56" w:rsidRDefault="00AC3C56"/>
    <w:sectPr w:rsidR="00AC3C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501" w:rsidRDefault="001C4501" w:rsidP="003D1E43">
      <w:r>
        <w:separator/>
      </w:r>
    </w:p>
  </w:endnote>
  <w:endnote w:type="continuationSeparator" w:id="0">
    <w:p w:rsidR="001C4501" w:rsidRDefault="001C4501" w:rsidP="003D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501" w:rsidRDefault="001C4501" w:rsidP="003D1E43">
      <w:r>
        <w:separator/>
      </w:r>
    </w:p>
  </w:footnote>
  <w:footnote w:type="continuationSeparator" w:id="0">
    <w:p w:rsidR="001C4501" w:rsidRDefault="001C4501" w:rsidP="003D1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12692"/>
    <w:multiLevelType w:val="multilevel"/>
    <w:tmpl w:val="3E212692"/>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567E5962"/>
    <w:multiLevelType w:val="multilevel"/>
    <w:tmpl w:val="567E5962"/>
    <w:lvl w:ilvl="0">
      <w:start w:val="1"/>
      <w:numFmt w:val="japaneseCounting"/>
      <w:lvlText w:val="第%1条"/>
      <w:lvlJc w:val="left"/>
      <w:pPr>
        <w:ind w:left="840" w:hanging="84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E087BBF"/>
    <w:multiLevelType w:val="multilevel"/>
    <w:tmpl w:val="6E087BBF"/>
    <w:lvl w:ilvl="0">
      <w:start w:val="8"/>
      <w:numFmt w:val="japaneseCounting"/>
      <w:lvlText w:val="第%1条"/>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num>
  <w:num w:numId="2">
    <w:abstractNumId w:val="2"/>
    <w:lvlOverride w:ilvl="0">
      <w:startOverride w:val="8"/>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jkzNjc0OTIyMThkNTdmMDA0MTVlZDVjYzM0ZGMifQ=="/>
  </w:docVars>
  <w:rsids>
    <w:rsidRoot w:val="00172A27"/>
    <w:rsid w:val="00172A27"/>
    <w:rsid w:val="001C4501"/>
    <w:rsid w:val="003D1E43"/>
    <w:rsid w:val="00823B55"/>
    <w:rsid w:val="008B6425"/>
    <w:rsid w:val="00AC3C56"/>
    <w:rsid w:val="00D4630C"/>
    <w:rsid w:val="04576344"/>
    <w:rsid w:val="064208CC"/>
    <w:rsid w:val="0F953705"/>
    <w:rsid w:val="12907AD9"/>
    <w:rsid w:val="145766BD"/>
    <w:rsid w:val="15C40981"/>
    <w:rsid w:val="229A7E79"/>
    <w:rsid w:val="23290691"/>
    <w:rsid w:val="381B0DFB"/>
    <w:rsid w:val="41267767"/>
    <w:rsid w:val="42103B4B"/>
    <w:rsid w:val="453F67C9"/>
    <w:rsid w:val="4A234E5D"/>
    <w:rsid w:val="4A96590B"/>
    <w:rsid w:val="5B2702C9"/>
    <w:rsid w:val="5E2964D1"/>
    <w:rsid w:val="5EE4028B"/>
    <w:rsid w:val="6D2C69A8"/>
    <w:rsid w:val="71CF5E97"/>
    <w:rsid w:val="79FD58D7"/>
    <w:rsid w:val="7B5E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36F9C"/>
  <w15:docId w15:val="{7EC9FC01-A6C9-4E57-8FC9-A6A67756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 w:eastAsia="仿宋" w:hAnsi="仿宋"/>
      <w:color w:val="000000"/>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customStyle="1" w:styleId="1">
    <w:name w:val="列出段落1"/>
    <w:basedOn w:val="a"/>
    <w:uiPriority w:val="34"/>
    <w:qFormat/>
    <w:pPr>
      <w:ind w:firstLineChars="200" w:firstLine="420"/>
    </w:pPr>
    <w:rPr>
      <w:rFonts w:ascii="Calibri" w:eastAsia="宋体" w:hAnsi="Calibri"/>
      <w:color w:val="auto"/>
      <w:sz w:val="21"/>
      <w:szCs w:val="22"/>
    </w:rPr>
  </w:style>
  <w:style w:type="paragraph" w:styleId="a4">
    <w:name w:val="header"/>
    <w:basedOn w:val="a"/>
    <w:link w:val="a5"/>
    <w:rsid w:val="003D1E4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D1E43"/>
    <w:rPr>
      <w:rFonts w:ascii="仿宋" w:eastAsia="仿宋" w:hAnsi="仿宋"/>
      <w:color w:val="000000"/>
      <w:kern w:val="2"/>
      <w:sz w:val="18"/>
      <w:szCs w:val="18"/>
    </w:rPr>
  </w:style>
  <w:style w:type="paragraph" w:styleId="a6">
    <w:name w:val="footer"/>
    <w:basedOn w:val="a"/>
    <w:link w:val="a7"/>
    <w:rsid w:val="003D1E43"/>
    <w:pPr>
      <w:tabs>
        <w:tab w:val="center" w:pos="4153"/>
        <w:tab w:val="right" w:pos="8306"/>
      </w:tabs>
      <w:snapToGrid w:val="0"/>
      <w:jc w:val="left"/>
    </w:pPr>
    <w:rPr>
      <w:sz w:val="18"/>
      <w:szCs w:val="18"/>
    </w:rPr>
  </w:style>
  <w:style w:type="character" w:customStyle="1" w:styleId="a7">
    <w:name w:val="页脚 字符"/>
    <w:basedOn w:val="a0"/>
    <w:link w:val="a6"/>
    <w:rsid w:val="003D1E43"/>
    <w:rPr>
      <w:rFonts w:ascii="仿宋" w:eastAsia="仿宋" w:hAnsi="仿宋"/>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ttonchina.org/picture/img1208/201208310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ttonchina.org/picture/img1208/20120831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yangfang</cp:lastModifiedBy>
  <cp:revision>3</cp:revision>
  <cp:lastPrinted>2026-07-09T09:31:00Z</cp:lastPrinted>
  <dcterms:created xsi:type="dcterms:W3CDTF">2023-07-26T06:51:00Z</dcterms:created>
  <dcterms:modified xsi:type="dcterms:W3CDTF">2026-07-14T07:13:00Z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DF8C53B9C32249EFA338C092FD79C5A5_12</vt:lpwstr>
  </property>
</Properties>
</file>