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97917">
      <w:pPr>
        <w:pStyle w:val="2"/>
      </w:pPr>
      <w:bookmarkStart w:id="0" w:name="_Toc175316842"/>
      <w:r>
        <w:rPr>
          <w:rFonts w:hint="eastAsia"/>
        </w:rPr>
        <w:t>全国棉花交易市场商品棉交易交割办法</w:t>
      </w:r>
      <w:bookmarkEnd w:id="0"/>
    </w:p>
    <w:p w14:paraId="2F21C4B1">
      <w:pPr>
        <w:snapToGrid w:val="0"/>
        <w:spacing w:before="156" w:beforeLines="50" w:line="560" w:lineRule="atLeast"/>
        <w:contextualSpacing/>
        <w:jc w:val="center"/>
        <w:rPr>
          <w:rFonts w:ascii="楷体" w:hAnsi="楷体" w:eastAsia="楷体" w:cs="Times New Roman"/>
          <w:sz w:val="28"/>
        </w:rPr>
      </w:pPr>
      <w:r>
        <w:rPr>
          <w:rFonts w:hint="eastAsia" w:ascii="楷体" w:hAnsi="楷体" w:eastAsia="楷体" w:cs="Times New Roman"/>
          <w:sz w:val="28"/>
        </w:rPr>
        <w:t>（</w:t>
      </w:r>
      <w:r>
        <w:rPr>
          <w:rFonts w:hint="eastAsia" w:ascii="楷体" w:hAnsi="楷体" w:eastAsia="楷体" w:cs="Times New Roman"/>
          <w:sz w:val="30"/>
          <w:szCs w:val="30"/>
        </w:rPr>
        <w:t>2024年度版</w:t>
      </w:r>
      <w:r>
        <w:rPr>
          <w:rFonts w:hint="eastAsia" w:ascii="楷体" w:hAnsi="楷体" w:eastAsia="楷体" w:cs="Times New Roman"/>
          <w:sz w:val="28"/>
        </w:rPr>
        <w:t>）</w:t>
      </w:r>
    </w:p>
    <w:p w14:paraId="38F7EA59">
      <w:pPr>
        <w:snapToGrid w:val="0"/>
        <w:spacing w:before="156" w:beforeLines="50" w:line="560" w:lineRule="atLeast"/>
        <w:contextualSpacing/>
        <w:jc w:val="center"/>
        <w:rPr>
          <w:rFonts w:ascii="楷体" w:hAnsi="楷体" w:eastAsia="楷体" w:cs="Times New Roman"/>
          <w:sz w:val="28"/>
        </w:rPr>
      </w:pPr>
    </w:p>
    <w:p w14:paraId="0EE85D53">
      <w:pPr>
        <w:widowControl/>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第一章  总则</w:t>
      </w:r>
    </w:p>
    <w:p w14:paraId="71F470D4">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Calibri" w:eastAsia="黑体" w:cs="Times New Roman"/>
          <w:bCs/>
          <w:sz w:val="32"/>
          <w:szCs w:val="30"/>
        </w:rPr>
        <w:t>第一条</w:t>
      </w:r>
      <w:r>
        <w:rPr>
          <w:rFonts w:hint="eastAsia" w:ascii="仿宋" w:hAnsi="仿宋" w:eastAsia="仿宋" w:cs="Times New Roman"/>
          <w:sz w:val="32"/>
          <w:szCs w:val="30"/>
        </w:rPr>
        <w:t xml:space="preserve"> </w:t>
      </w:r>
      <w:r>
        <w:rPr>
          <w:rFonts w:ascii="仿宋" w:hAnsi="仿宋" w:eastAsia="仿宋" w:cs="Times New Roman"/>
          <w:sz w:val="32"/>
          <w:szCs w:val="30"/>
        </w:rPr>
        <w:t xml:space="preserve"> </w:t>
      </w:r>
      <w:r>
        <w:rPr>
          <w:rFonts w:hint="eastAsia" w:ascii="仿宋" w:hAnsi="仿宋" w:eastAsia="仿宋" w:cs="Times New Roman"/>
          <w:sz w:val="32"/>
          <w:szCs w:val="30"/>
        </w:rPr>
        <w:t>为促进商品棉规范、有序流通，保护参与交易各方合法权益，保障全国棉花交易市场（以下简称“交易市场”）商品棉交易交割的顺利进行，根据公开、公平、公正原则，遵循</w:t>
      </w:r>
      <w:r>
        <w:rPr>
          <w:rFonts w:hint="eastAsia" w:ascii="仿宋" w:hAnsi="仿宋" w:eastAsia="仿宋"/>
          <w:sz w:val="32"/>
          <w:szCs w:val="20"/>
        </w:rPr>
        <w:t>国家相关法律法规及</w:t>
      </w:r>
      <w:r>
        <w:rPr>
          <w:rFonts w:hint="eastAsia" w:ascii="仿宋" w:hAnsi="仿宋" w:eastAsia="仿宋" w:cs="Times New Roman"/>
          <w:sz w:val="32"/>
          <w:szCs w:val="30"/>
        </w:rPr>
        <w:t>交易市场</w:t>
      </w:r>
      <w:r>
        <w:rPr>
          <w:rFonts w:hint="eastAsia" w:ascii="仿宋" w:hAnsi="仿宋" w:eastAsia="仿宋"/>
          <w:sz w:val="32"/>
          <w:szCs w:val="20"/>
        </w:rPr>
        <w:t>规定</w:t>
      </w:r>
      <w:r>
        <w:rPr>
          <w:rFonts w:hint="eastAsia" w:ascii="仿宋" w:hAnsi="仿宋" w:eastAsia="仿宋" w:cs="Times New Roman"/>
          <w:sz w:val="32"/>
          <w:szCs w:val="30"/>
        </w:rPr>
        <w:t>，制定本办法。</w:t>
      </w:r>
    </w:p>
    <w:p w14:paraId="0845F178">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第二条</w:t>
      </w:r>
      <w:r>
        <w:rPr>
          <w:rFonts w:hint="eastAsia" w:ascii="仿宋" w:hAnsi="仿宋" w:eastAsia="仿宋" w:cs="Times New Roman"/>
          <w:sz w:val="32"/>
          <w:szCs w:val="30"/>
        </w:rPr>
        <w:t xml:space="preserve"> </w:t>
      </w:r>
      <w:r>
        <w:rPr>
          <w:rFonts w:ascii="仿宋" w:hAnsi="仿宋" w:eastAsia="仿宋" w:cs="Times New Roman"/>
          <w:sz w:val="32"/>
          <w:szCs w:val="30"/>
        </w:rPr>
        <w:t xml:space="preserve"> </w:t>
      </w:r>
      <w:r>
        <w:rPr>
          <w:rFonts w:hint="eastAsia" w:ascii="仿宋" w:hAnsi="仿宋" w:eastAsia="仿宋" w:cs="Times New Roman"/>
          <w:sz w:val="32"/>
          <w:szCs w:val="30"/>
        </w:rPr>
        <w:t>商品棉交易交割是指买卖双方交易商（以下简称“买方”或“卖方”）通过交易市场购买和销售商品棉时，按照</w:t>
      </w:r>
      <w:r>
        <w:rPr>
          <w:rFonts w:ascii="仿宋" w:hAnsi="仿宋" w:eastAsia="仿宋" w:cs="Times New Roman"/>
          <w:sz w:val="32"/>
          <w:szCs w:val="30"/>
        </w:rPr>
        <w:t>本办法</w:t>
      </w:r>
      <w:r>
        <w:rPr>
          <w:rFonts w:hint="eastAsia" w:ascii="仿宋" w:hAnsi="仿宋" w:eastAsia="仿宋" w:cs="Times New Roman"/>
          <w:sz w:val="32"/>
          <w:szCs w:val="30"/>
        </w:rPr>
        <w:t>规定的交易方式成交，并签订购销合同（以下简称“合同”）。经交易市场见证后，根据合同约定进行货款流转、货物交割的行为。</w:t>
      </w:r>
    </w:p>
    <w:p w14:paraId="6B4B200F">
      <w:pPr>
        <w:snapToGrid w:val="0"/>
        <w:spacing w:before="156" w:beforeLines="50" w:line="560" w:lineRule="atLeast"/>
        <w:ind w:firstLine="600"/>
        <w:contextualSpacing/>
        <w:rPr>
          <w:rFonts w:ascii="仿宋" w:hAnsi="仿宋" w:eastAsia="仿宋" w:cs="Times New Roman"/>
          <w:sz w:val="32"/>
          <w:szCs w:val="30"/>
        </w:rPr>
      </w:pPr>
      <w:r>
        <w:rPr>
          <w:rFonts w:hint="eastAsia" w:ascii="仿宋" w:hAnsi="仿宋" w:eastAsia="仿宋" w:cs="Times New Roman"/>
          <w:sz w:val="32"/>
          <w:szCs w:val="30"/>
        </w:rPr>
        <w:t>交易市场不鼓励买卖双方在合同外另行约定，另行约定内容不属于交易市场见证范围，买卖双方自行承担相应的权利、义务与责任。</w:t>
      </w:r>
    </w:p>
    <w:p w14:paraId="71BBED16">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第三条</w:t>
      </w:r>
      <w:r>
        <w:rPr>
          <w:rFonts w:ascii="黑体" w:hAnsi="黑体" w:eastAsia="黑体" w:cs="Times New Roman"/>
          <w:sz w:val="32"/>
          <w:szCs w:val="30"/>
        </w:rPr>
        <w:t xml:space="preserve">  </w:t>
      </w:r>
      <w:r>
        <w:rPr>
          <w:rFonts w:hint="eastAsia" w:ascii="仿宋" w:hAnsi="仿宋" w:eastAsia="仿宋" w:cs="Times New Roman"/>
          <w:sz w:val="32"/>
          <w:szCs w:val="30"/>
        </w:rPr>
        <w:t>交易商参与商品棉交易交割的资金由交易市场统一管理。</w:t>
      </w:r>
    </w:p>
    <w:p w14:paraId="7EE6A7E3">
      <w:pPr>
        <w:snapToGrid w:val="0"/>
        <w:spacing w:before="156" w:beforeLines="50" w:line="560" w:lineRule="atLeast"/>
        <w:ind w:firstLine="600"/>
        <w:contextualSpacing/>
        <w:rPr>
          <w:rFonts w:ascii="仿宋" w:hAnsi="仿宋" w:eastAsia="仿宋" w:cs="Times New Roman"/>
          <w:sz w:val="32"/>
          <w:szCs w:val="30"/>
        </w:rPr>
      </w:pPr>
      <w:r>
        <w:rPr>
          <w:rFonts w:hint="eastAsia" w:ascii="仿宋" w:hAnsi="仿宋" w:eastAsia="仿宋" w:cs="Times New Roman"/>
          <w:sz w:val="32"/>
          <w:szCs w:val="30"/>
        </w:rPr>
        <w:t>交割商品棉应注册交易市场电子仓单（以下简称“仓单”），并委托交易市场办理仓单过户。买卖双方协商一致不注册仓单的，需自行办理货权变更并通知交易</w:t>
      </w:r>
      <w:bookmarkStart w:id="1" w:name="_GoBack"/>
      <w:bookmarkEnd w:id="1"/>
      <w:r>
        <w:rPr>
          <w:rFonts w:hint="eastAsia" w:ascii="仿宋" w:hAnsi="仿宋" w:eastAsia="仿宋" w:cs="Times New Roman"/>
          <w:sz w:val="32"/>
          <w:szCs w:val="30"/>
        </w:rPr>
        <w:t>市场。</w:t>
      </w:r>
    </w:p>
    <w:p w14:paraId="35D8874E">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第四条</w:t>
      </w:r>
      <w:r>
        <w:rPr>
          <w:rFonts w:ascii="仿宋" w:hAnsi="仿宋" w:eastAsia="仿宋" w:cs="Times New Roman"/>
          <w:sz w:val="32"/>
          <w:szCs w:val="30"/>
        </w:rPr>
        <w:t xml:space="preserve">  </w:t>
      </w:r>
      <w:r>
        <w:rPr>
          <w:rFonts w:hint="eastAsia" w:ascii="仿宋" w:hAnsi="仿宋" w:eastAsia="仿宋" w:cs="Times New Roman"/>
          <w:sz w:val="32"/>
          <w:szCs w:val="30"/>
        </w:rPr>
        <w:t>本办法适用于规范商品棉交易交割的各项行为；非棉花商品的交易交割行为，需经买卖双方</w:t>
      </w:r>
      <w:r>
        <w:rPr>
          <w:rFonts w:ascii="仿宋" w:hAnsi="仿宋" w:eastAsia="仿宋" w:cs="Times New Roman"/>
          <w:sz w:val="32"/>
          <w:szCs w:val="30"/>
        </w:rPr>
        <w:t>同意</w:t>
      </w:r>
      <w:r>
        <w:rPr>
          <w:rFonts w:hint="eastAsia" w:ascii="仿宋" w:hAnsi="仿宋" w:eastAsia="仿宋" w:cs="Times New Roman"/>
          <w:sz w:val="32"/>
          <w:szCs w:val="30"/>
        </w:rPr>
        <w:t>。交易市场、交易商和交易市场指定交割（监管）仓库（以下简称“指定交割（监管）仓库”）等相关各方必须遵守本办法。</w:t>
      </w:r>
    </w:p>
    <w:p w14:paraId="2ACFC08E">
      <w:pPr>
        <w:snapToGrid w:val="0"/>
        <w:spacing w:before="156" w:beforeLines="50" w:line="560" w:lineRule="atLeast"/>
        <w:ind w:firstLine="600"/>
        <w:contextualSpacing/>
        <w:rPr>
          <w:rFonts w:ascii="仿宋" w:hAnsi="仿宋" w:eastAsia="仿宋" w:cs="Times New Roman"/>
          <w:sz w:val="32"/>
          <w:szCs w:val="30"/>
        </w:rPr>
      </w:pPr>
    </w:p>
    <w:p w14:paraId="637B1AD3">
      <w:pPr>
        <w:widowControl/>
        <w:numPr>
          <w:ilvl w:val="0"/>
          <w:numId w:val="1"/>
        </w:numPr>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 xml:space="preserve"> 交易</w:t>
      </w:r>
    </w:p>
    <w:p w14:paraId="6AF7B3AA">
      <w:pPr>
        <w:widowControl/>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第一节  交易方式</w:t>
      </w:r>
    </w:p>
    <w:p w14:paraId="0AC3DC42">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kern w:val="0"/>
          <w:sz w:val="32"/>
          <w:szCs w:val="30"/>
        </w:rPr>
        <w:t>第五条</w:t>
      </w:r>
      <w:r>
        <w:rPr>
          <w:rFonts w:hint="eastAsia" w:ascii="仿宋" w:hAnsi="仿宋" w:eastAsia="仿宋" w:cs="Times New Roman"/>
          <w:sz w:val="32"/>
          <w:szCs w:val="30"/>
        </w:rPr>
        <w:t xml:space="preserve">  商品棉交易方式包括单向竞价交易与协议交易。</w:t>
      </w:r>
    </w:p>
    <w:p w14:paraId="6737D721">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单向竞价交易是指一个卖方（买方）向交易市场提出申请，交易市场预先公布交易信息，多个买方（卖方）按照规定加价或者减价，在约定交易时间内达成一致并成交的交易方式。具体交易方式分为竞卖交易和竞买交易。</w:t>
      </w:r>
    </w:p>
    <w:p w14:paraId="145551DC">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协议交易是指买卖双方以实物商品交割为目的，采用协商等方式一对一洽谈达成一致，约定立即交割或者在一定期限内交割的交易方式。具体交易方式分为协商交易、网上超市交易和基差交易。</w:t>
      </w:r>
    </w:p>
    <w:p w14:paraId="170D2FE3">
      <w:pPr>
        <w:widowControl/>
        <w:snapToGrid w:val="0"/>
        <w:spacing w:before="156" w:beforeLines="50" w:line="560" w:lineRule="atLeast"/>
        <w:ind w:firstLine="588"/>
        <w:contextualSpacing/>
        <w:rPr>
          <w:rFonts w:ascii="仿宋" w:hAnsi="仿宋" w:eastAsia="仿宋" w:cs="Times New Roman"/>
          <w:kern w:val="0"/>
          <w:sz w:val="32"/>
          <w:szCs w:val="30"/>
        </w:rPr>
      </w:pPr>
      <w:r>
        <w:rPr>
          <w:rFonts w:hint="eastAsia" w:ascii="黑体" w:hAnsi="黑体" w:eastAsia="黑体" w:cs="Times New Roman"/>
          <w:kern w:val="0"/>
          <w:sz w:val="32"/>
          <w:szCs w:val="30"/>
        </w:rPr>
        <w:t>第六条</w:t>
      </w:r>
      <w:r>
        <w:rPr>
          <w:rFonts w:hint="eastAsia" w:ascii="仿宋" w:hAnsi="仿宋" w:eastAsia="仿宋" w:cs="Times New Roman"/>
          <w:kern w:val="0"/>
          <w:sz w:val="32"/>
          <w:szCs w:val="30"/>
        </w:rPr>
        <w:t xml:space="preserve">  竞卖交易是指卖方将拟销售商品棉的质量、重量等基础数据通过交易市场预先公布后通过e棉网（</w:t>
      </w:r>
      <w:r>
        <w:rPr>
          <w:rFonts w:ascii="仿宋" w:hAnsi="仿宋" w:eastAsia="仿宋" w:cs="Times New Roman"/>
          <w:kern w:val="0"/>
          <w:sz w:val="32"/>
          <w:szCs w:val="30"/>
        </w:rPr>
        <w:t>https://www.cottoneasy.com/home</w:t>
      </w:r>
      <w:r>
        <w:rPr>
          <w:rFonts w:hint="eastAsia" w:ascii="仿宋" w:hAnsi="仿宋" w:eastAsia="仿宋" w:cs="Times New Roman"/>
          <w:kern w:val="0"/>
          <w:sz w:val="32"/>
          <w:szCs w:val="30"/>
        </w:rPr>
        <w:t>）交易系统（以下简称“交易系统”）展示报价，由买方竞价，按“价格优先、时间优先”原则以最高买价成交的交易方式。</w:t>
      </w:r>
    </w:p>
    <w:p w14:paraId="53F452FA">
      <w:pPr>
        <w:widowControl/>
        <w:snapToGrid w:val="0"/>
        <w:spacing w:before="156" w:beforeLines="50" w:line="560" w:lineRule="atLeast"/>
        <w:ind w:firstLine="640" w:firstLineChars="200"/>
        <w:contextualSpacing/>
        <w:rPr>
          <w:rFonts w:ascii="仿宋" w:hAnsi="仿宋" w:eastAsia="仿宋" w:cs="Times New Roman"/>
          <w:kern w:val="0"/>
          <w:sz w:val="32"/>
          <w:szCs w:val="30"/>
        </w:rPr>
      </w:pPr>
      <w:r>
        <w:rPr>
          <w:rFonts w:hint="eastAsia" w:ascii="仿宋" w:hAnsi="仿宋" w:eastAsia="仿宋" w:cs="Times New Roman"/>
          <w:kern w:val="0"/>
          <w:sz w:val="32"/>
          <w:szCs w:val="30"/>
        </w:rPr>
        <w:t>（一）卖方通过交易系统提交销售底价及报价有效期等信息，销售底价原则上不高于同期中国棉花价格指数。交易市场允许对参与竞卖交易的棉花批次设置保护价，当买方报价未达到保护价时，卖方可以对该棉花批次进行回购。</w:t>
      </w:r>
    </w:p>
    <w:p w14:paraId="0A01DE35">
      <w:pPr>
        <w:widowControl/>
        <w:spacing w:before="156" w:beforeLines="50"/>
        <w:ind w:firstLine="640" w:firstLineChars="200"/>
        <w:rPr>
          <w:rFonts w:ascii="仿宋" w:hAnsi="仿宋" w:eastAsia="仿宋" w:cs="Times New Roman"/>
          <w:kern w:val="0"/>
          <w:sz w:val="32"/>
          <w:szCs w:val="30"/>
        </w:rPr>
      </w:pPr>
      <w:r>
        <w:rPr>
          <w:rFonts w:hint="eastAsia" w:ascii="仿宋" w:hAnsi="仿宋" w:eastAsia="仿宋" w:cs="Times New Roman"/>
          <w:kern w:val="0"/>
          <w:sz w:val="32"/>
          <w:szCs w:val="30"/>
        </w:rPr>
        <w:t>（二）竞卖交易采用倒计时成交方式，在规定时间内，由买方自主加价，当所有参与交易的商品棉均无人进行报价，全场竞价结束，以最高买价成交。</w:t>
      </w:r>
    </w:p>
    <w:p w14:paraId="55E6A530">
      <w:pPr>
        <w:widowControl/>
        <w:spacing w:before="156" w:beforeLines="50"/>
        <w:ind w:firstLine="640" w:firstLineChars="200"/>
        <w:rPr>
          <w:rFonts w:ascii="仿宋" w:hAnsi="仿宋" w:eastAsia="仿宋" w:cs="Times New Roman"/>
          <w:kern w:val="0"/>
          <w:sz w:val="32"/>
          <w:szCs w:val="30"/>
        </w:rPr>
      </w:pPr>
      <w:r>
        <w:rPr>
          <w:rFonts w:hint="eastAsia" w:ascii="仿宋" w:hAnsi="仿宋" w:eastAsia="仿宋" w:cs="Times New Roman"/>
          <w:kern w:val="0"/>
          <w:sz w:val="32"/>
          <w:szCs w:val="30"/>
        </w:rPr>
        <w:t>（三）成交后，买卖双方须在规定时间内签订合同，并按照合同约定时间内付款，完成仓单过户（货权变更）。</w:t>
      </w:r>
    </w:p>
    <w:p w14:paraId="1001FB40">
      <w:pPr>
        <w:widowControl/>
        <w:snapToGrid w:val="0"/>
        <w:spacing w:before="156" w:beforeLines="50" w:line="560" w:lineRule="atLeast"/>
        <w:ind w:firstLine="600"/>
        <w:contextualSpacing/>
        <w:rPr>
          <w:rFonts w:ascii="仿宋" w:hAnsi="仿宋" w:eastAsia="仿宋" w:cs="Times New Roman"/>
          <w:kern w:val="0"/>
          <w:sz w:val="32"/>
          <w:szCs w:val="30"/>
        </w:rPr>
      </w:pPr>
      <w:r>
        <w:rPr>
          <w:rFonts w:hint="eastAsia" w:ascii="黑体" w:hAnsi="黑体" w:eastAsia="黑体" w:cs="Times New Roman"/>
          <w:kern w:val="0"/>
          <w:sz w:val="32"/>
          <w:szCs w:val="30"/>
        </w:rPr>
        <w:t>第七条</w:t>
      </w:r>
      <w:r>
        <w:rPr>
          <w:rFonts w:hint="eastAsia" w:ascii="仿宋" w:hAnsi="仿宋" w:eastAsia="仿宋" w:cs="Times New Roman"/>
          <w:kern w:val="0"/>
          <w:sz w:val="32"/>
          <w:szCs w:val="30"/>
        </w:rPr>
        <w:t xml:space="preserve">  竞买交易是指买方将拟采购商品棉的质量、重量及仓库等基础数据通过交易市场预先公布后在交易系统展示报价，由卖方竞价，按“价格优先、时间优先”原则以最低卖价成交的交易方式。</w:t>
      </w:r>
    </w:p>
    <w:p w14:paraId="2CE9C434">
      <w:pPr>
        <w:snapToGrid w:val="0"/>
        <w:spacing w:before="156" w:beforeLines="50" w:line="560" w:lineRule="atLeast"/>
        <w:ind w:firstLine="640" w:firstLineChars="200"/>
        <w:contextualSpacing/>
        <w:rPr>
          <w:rFonts w:ascii="仿宋" w:hAnsi="仿宋" w:eastAsia="仿宋" w:cs="Times New Roman"/>
          <w:kern w:val="0"/>
          <w:sz w:val="32"/>
          <w:szCs w:val="30"/>
        </w:rPr>
      </w:pPr>
      <w:r>
        <w:rPr>
          <w:rFonts w:hint="eastAsia" w:ascii="仿宋" w:hAnsi="仿宋" w:eastAsia="仿宋" w:cs="Times New Roman"/>
          <w:sz w:val="32"/>
          <w:szCs w:val="30"/>
        </w:rPr>
        <w:t>（一）</w:t>
      </w:r>
      <w:r>
        <w:rPr>
          <w:rFonts w:hint="eastAsia" w:ascii="仿宋" w:hAnsi="仿宋" w:eastAsia="仿宋" w:cs="Times New Roman"/>
          <w:kern w:val="0"/>
          <w:sz w:val="32"/>
          <w:szCs w:val="30"/>
        </w:rPr>
        <w:t>买方通过交易系统提交采购商品棉的质量、重量要求及采购价格，并填写报价有效期等信息。</w:t>
      </w:r>
    </w:p>
    <w:p w14:paraId="340A2B31">
      <w:pPr>
        <w:widowControl/>
        <w:spacing w:before="156" w:beforeLines="50"/>
        <w:ind w:firstLine="640" w:firstLineChars="200"/>
        <w:rPr>
          <w:rFonts w:ascii="仿宋" w:hAnsi="仿宋" w:eastAsia="仿宋" w:cs="Times New Roman"/>
          <w:kern w:val="0"/>
          <w:sz w:val="32"/>
          <w:szCs w:val="30"/>
        </w:rPr>
      </w:pPr>
      <w:r>
        <w:rPr>
          <w:rFonts w:hint="eastAsia" w:ascii="仿宋" w:hAnsi="仿宋" w:eastAsia="仿宋" w:cs="Times New Roman"/>
          <w:kern w:val="0"/>
          <w:sz w:val="32"/>
          <w:szCs w:val="30"/>
        </w:rPr>
        <w:t>（二）竞买交易采用倒计时成交方式，在规定时间内，由卖方自主减价，当所有参与交易的商品棉均无人进行报价，全场竞价结束，以最低卖价成交。</w:t>
      </w:r>
    </w:p>
    <w:p w14:paraId="379E6609">
      <w:pPr>
        <w:snapToGrid w:val="0"/>
        <w:spacing w:before="156" w:beforeLines="50" w:line="560" w:lineRule="atLeast"/>
        <w:ind w:firstLine="640" w:firstLineChars="200"/>
        <w:contextualSpacing/>
        <w:rPr>
          <w:rFonts w:ascii="仿宋_GB2312" w:hAnsi="仿宋" w:eastAsia="仿宋_GB2312" w:cs="Times New Roman"/>
          <w:sz w:val="32"/>
          <w:szCs w:val="30"/>
        </w:rPr>
      </w:pPr>
      <w:r>
        <w:rPr>
          <w:rFonts w:hint="eastAsia" w:ascii="仿宋" w:hAnsi="仿宋" w:eastAsia="仿宋" w:cs="Times New Roman"/>
          <w:sz w:val="32"/>
          <w:szCs w:val="30"/>
        </w:rPr>
        <w:t>（三）</w:t>
      </w:r>
      <w:r>
        <w:rPr>
          <w:rFonts w:hint="eastAsia" w:ascii="仿宋" w:hAnsi="仿宋" w:eastAsia="仿宋" w:cs="仿宋"/>
          <w:sz w:val="32"/>
          <w:szCs w:val="30"/>
        </w:rPr>
        <w:t>通过竞买交易的</w:t>
      </w:r>
      <w:r>
        <w:rPr>
          <w:rFonts w:hint="eastAsia" w:ascii="仿宋_GB2312" w:hAnsi="仿宋" w:eastAsia="仿宋_GB2312" w:cs="Times New Roman"/>
          <w:sz w:val="32"/>
          <w:szCs w:val="30"/>
        </w:rPr>
        <w:t>新疆棉成交</w:t>
      </w:r>
      <w:r>
        <w:rPr>
          <w:rFonts w:hint="eastAsia" w:ascii="仿宋" w:hAnsi="仿宋" w:eastAsia="仿宋" w:cs="Times New Roman"/>
          <w:sz w:val="32"/>
          <w:szCs w:val="30"/>
        </w:rPr>
        <w:t>重量为40吨的整数倍，地产棉、进口棉成交重量为20吨的整数倍。卖方实际交货重量允许在成交重量的±10％之内浮动。</w:t>
      </w:r>
    </w:p>
    <w:p w14:paraId="3C55E9A8">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第八条</w:t>
      </w:r>
      <w:r>
        <w:rPr>
          <w:rFonts w:hint="eastAsia" w:ascii="仿宋" w:hAnsi="仿宋" w:eastAsia="仿宋" w:cs="Times New Roman"/>
          <w:sz w:val="32"/>
          <w:szCs w:val="30"/>
        </w:rPr>
        <w:t xml:space="preserve">  协商交易是指买卖双方通过交易系统自行协商成交，双方确认合同约定内容委托交易市场见证，并按照合同约定进行货款流转与仓单过户（货权变更）的交易方式。</w:t>
      </w:r>
    </w:p>
    <w:p w14:paraId="47DD9F9D">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（一）卖方通过交易系统填写拟销售买方及对应棉花批次单价、付款比例、违约金金额及费用等合同相关信息，将合同盖章后发送买方确认；合同被买方接收并盖章后生效。</w:t>
      </w:r>
    </w:p>
    <w:p w14:paraId="47BBD004">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（二）买方超过4个自然日未接收合同，卖方可自行通过交易系统撤销。买方接收合同并盖章后，未经买卖双方共同确认任一方不得撤销该合同。</w:t>
      </w:r>
    </w:p>
    <w:p w14:paraId="13334780">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（三）交易市场审核合同无误后，加盖合同见证章见证合同履行。</w:t>
      </w:r>
    </w:p>
    <w:p w14:paraId="210EA752">
      <w:pPr>
        <w:snapToGrid w:val="0"/>
        <w:spacing w:before="156" w:beforeLines="50" w:line="560" w:lineRule="atLeast"/>
        <w:ind w:firstLine="640" w:firstLineChars="200"/>
        <w:contextualSpacing/>
        <w:rPr>
          <w:rFonts w:ascii="仿宋" w:hAnsi="仿宋" w:eastAsia="仿宋"/>
          <w:sz w:val="32"/>
          <w:szCs w:val="30"/>
        </w:rPr>
      </w:pPr>
      <w:r>
        <w:rPr>
          <w:rFonts w:hint="eastAsia" w:ascii="黑体" w:hAnsi="黑体" w:eastAsia="黑体" w:cs="Times New Roman"/>
          <w:sz w:val="32"/>
          <w:szCs w:val="30"/>
        </w:rPr>
        <w:t>第九条</w:t>
      </w:r>
      <w:r>
        <w:rPr>
          <w:rFonts w:hint="eastAsia" w:ascii="仿宋" w:hAnsi="仿宋" w:eastAsia="仿宋" w:cs="Times New Roman"/>
          <w:sz w:val="32"/>
          <w:szCs w:val="30"/>
        </w:rPr>
        <w:t xml:space="preserve">  网上超市</w:t>
      </w:r>
      <w:r>
        <w:rPr>
          <w:rFonts w:hint="eastAsia" w:ascii="仿宋" w:hAnsi="仿宋" w:eastAsia="仿宋"/>
          <w:sz w:val="32"/>
          <w:szCs w:val="30"/>
        </w:rPr>
        <w:t>交易是指卖方或买方通过交易系统发布仓单或需求，买方或卖方浏览后通过交易系统报价，双方一对一协商价格达成一致</w:t>
      </w:r>
      <w:r>
        <w:rPr>
          <w:rFonts w:hint="eastAsia" w:ascii="仿宋" w:hAnsi="仿宋" w:eastAsia="仿宋" w:cs="Times New Roman"/>
          <w:sz w:val="32"/>
          <w:szCs w:val="30"/>
        </w:rPr>
        <w:t>的交易方式</w:t>
      </w:r>
      <w:r>
        <w:rPr>
          <w:rFonts w:hint="eastAsia" w:ascii="仿宋" w:hAnsi="仿宋" w:eastAsia="仿宋"/>
          <w:sz w:val="32"/>
          <w:szCs w:val="30"/>
        </w:rPr>
        <w:t>。</w:t>
      </w:r>
    </w:p>
    <w:p w14:paraId="2F28F997">
      <w:pPr>
        <w:snapToGrid w:val="0"/>
        <w:spacing w:before="156" w:beforeLines="50" w:line="560" w:lineRule="atLeast"/>
        <w:ind w:firstLine="640" w:firstLineChars="200"/>
        <w:contextualSpacing/>
        <w:rPr>
          <w:rFonts w:ascii="仿宋" w:hAnsi="仿宋" w:eastAsia="仿宋"/>
          <w:sz w:val="32"/>
          <w:szCs w:val="30"/>
        </w:rPr>
      </w:pPr>
      <w:r>
        <w:rPr>
          <w:rFonts w:hint="eastAsia" w:ascii="仿宋" w:hAnsi="仿宋" w:eastAsia="仿宋"/>
          <w:sz w:val="32"/>
          <w:szCs w:val="30"/>
        </w:rPr>
        <w:t>（一）卖方或买方通过交易系统提交仓单或需求，提交报价及报价有效期等信息。</w:t>
      </w:r>
    </w:p>
    <w:p w14:paraId="1EA7AA2B">
      <w:pPr>
        <w:snapToGrid w:val="0"/>
        <w:spacing w:before="156" w:beforeLines="50" w:line="560" w:lineRule="atLeast"/>
        <w:ind w:firstLine="640" w:firstLineChars="200"/>
        <w:contextualSpacing/>
        <w:rPr>
          <w:rFonts w:ascii="仿宋" w:hAnsi="仿宋" w:eastAsia="仿宋"/>
          <w:sz w:val="32"/>
          <w:szCs w:val="30"/>
        </w:rPr>
      </w:pPr>
      <w:r>
        <w:rPr>
          <w:rFonts w:hint="eastAsia" w:ascii="仿宋" w:hAnsi="仿宋" w:eastAsia="仿宋"/>
          <w:sz w:val="32"/>
          <w:szCs w:val="30"/>
        </w:rPr>
        <w:t>（二）交易市场审核信息后，对应报价进入交易系统展示；超过报价有效期的信息自动失效。</w:t>
      </w:r>
    </w:p>
    <w:p w14:paraId="36DEC9D0">
      <w:pPr>
        <w:snapToGrid w:val="0"/>
        <w:spacing w:before="156" w:beforeLines="50" w:line="560" w:lineRule="atLeast"/>
        <w:ind w:firstLine="600"/>
        <w:contextualSpacing/>
        <w:rPr>
          <w:rFonts w:ascii="仿宋" w:hAnsi="仿宋" w:eastAsia="仿宋"/>
          <w:sz w:val="32"/>
          <w:szCs w:val="30"/>
        </w:rPr>
      </w:pPr>
      <w:r>
        <w:rPr>
          <w:rFonts w:hint="eastAsia" w:ascii="仿宋" w:hAnsi="仿宋" w:eastAsia="仿宋"/>
          <w:sz w:val="32"/>
          <w:szCs w:val="30"/>
        </w:rPr>
        <w:t>（三）具备资格的买方或卖方进入交易系统后，可对该报价进行确认或还价，按照“价格优先，时间优先”的原则成交。</w:t>
      </w:r>
    </w:p>
    <w:p w14:paraId="5D5E71FC">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第十条  </w:t>
      </w:r>
      <w:r>
        <w:rPr>
          <w:rFonts w:hint="eastAsia" w:ascii="仿宋" w:hAnsi="仿宋" w:eastAsia="仿宋" w:cs="Times New Roman"/>
          <w:sz w:val="32"/>
          <w:szCs w:val="30"/>
        </w:rPr>
        <w:t>基差交易是指卖方通过交易系统以基差报价方式展示仓单，买方确认报价或还价，双方确定基差与对应期货成交价格，待期货市场价格出现时成交的交易方式。</w:t>
      </w:r>
    </w:p>
    <w:p w14:paraId="1F8F18F3">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（一）卖方通过交易系统提交拟销售仓单的基差报价、报价有效期等信息。卖方也可通过交易系统采用固定价格“一口价”方式报价。</w:t>
      </w:r>
    </w:p>
    <w:p w14:paraId="06CD1A20">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（二）交易系统接受卖方向特定买方展示报价。卖方可将多张仓单分别提交报价，也可按“打捆”方式汇总为一个报价。</w:t>
      </w:r>
    </w:p>
    <w:p w14:paraId="40A10E45">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三）开市后，买方选择卖方仓单进行报价。采取基差报价方式的，买方可直接确认基差或对基差还价；采用固定价格“一口价”报价方式的，买方可直接确认“一口价”成交或对“一口价”还价。交易系统将买方还价推送至卖方，卖方确认前买方可自行撤销。</w:t>
      </w:r>
    </w:p>
    <w:p w14:paraId="48C62C09">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（四）卖方收到买方报价后，可选择接受或拒绝。</w:t>
      </w:r>
    </w:p>
    <w:p w14:paraId="122C2084">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五）采取基差报价方式时，双方确认基差后可由买方通过交易系统提出期货成交价格，当期货市场价格出现此价格时成交；未出现期货成交价格，卖方也可按期货成交价格通过交易系统确认成交。采取”一口价”报价方式的，卖方确认买方报价后直接成交。</w:t>
      </w:r>
    </w:p>
    <w:p w14:paraId="60E1D2C4">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六）交易时间内卖方未确认买方报价，卖方可撤销展示。采取基差报价方式的，已确认基差等待期货成交价格期间（除双方另有约定），卖方或买方撤销交易需通过交易系统向对方发出通知，对方确认收到通知，或通知发出超过五分钟且期间未出现对应期货成交价格，交易撤销。</w:t>
      </w:r>
    </w:p>
    <w:p w14:paraId="74C2576C">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（七）成交后交易市场生成合同，买卖双方需在2个工作日内（含成交当日）完成合同签订。</w:t>
      </w:r>
    </w:p>
    <w:p w14:paraId="7A5276FA">
      <w:pPr>
        <w:widowControl/>
        <w:snapToGrid w:val="0"/>
        <w:spacing w:before="156" w:beforeLines="50" w:line="560" w:lineRule="atLeast"/>
        <w:ind w:firstLine="588"/>
        <w:contextualSpacing/>
        <w:rPr>
          <w:rFonts w:ascii="仿宋" w:hAnsi="仿宋" w:eastAsia="仿宋" w:cs="Times New Roman"/>
          <w:kern w:val="0"/>
          <w:sz w:val="32"/>
          <w:szCs w:val="30"/>
        </w:rPr>
      </w:pPr>
      <w:r>
        <w:rPr>
          <w:rFonts w:hint="eastAsia" w:ascii="黑体" w:hAnsi="黑体" w:eastAsia="黑体" w:cs="Times New Roman"/>
          <w:kern w:val="0"/>
          <w:sz w:val="32"/>
          <w:szCs w:val="30"/>
        </w:rPr>
        <w:t>第十一条</w:t>
      </w:r>
      <w:r>
        <w:rPr>
          <w:rFonts w:hint="eastAsia" w:ascii="仿宋" w:hAnsi="仿宋" w:eastAsia="仿宋" w:cs="Times New Roman"/>
          <w:kern w:val="0"/>
          <w:sz w:val="32"/>
          <w:szCs w:val="30"/>
        </w:rPr>
        <w:t xml:space="preserve">  交易市场收到交易商提供的信息资料后1至3个工作日完成审核，并有权根据报价有效期通过交易系统反馈实际上市日期和数量。除协商交易外，非交易时间，交易商调整拟上市数据后，通知交易市场重新审核；交易时间内，若无人进行报价，交易商可调整已上市数据，根据交易市场审核结果，交易系统更新商品信息。</w:t>
      </w:r>
    </w:p>
    <w:p w14:paraId="1F5EE63B">
      <w:pPr>
        <w:widowControl/>
        <w:snapToGrid w:val="0"/>
        <w:spacing w:before="156" w:beforeLines="50" w:line="560" w:lineRule="atLeast"/>
        <w:ind w:firstLine="588"/>
        <w:contextualSpacing/>
        <w:rPr>
          <w:rFonts w:ascii="仿宋" w:hAnsi="仿宋" w:eastAsia="仿宋" w:cs="Times New Roman"/>
          <w:b/>
          <w:bCs/>
          <w:kern w:val="0"/>
          <w:sz w:val="32"/>
          <w:szCs w:val="30"/>
        </w:rPr>
      </w:pPr>
      <w:r>
        <w:rPr>
          <w:rFonts w:hint="eastAsia" w:ascii="黑体" w:hAnsi="黑体" w:eastAsia="黑体" w:cs="Times New Roman"/>
          <w:kern w:val="0"/>
          <w:sz w:val="32"/>
          <w:szCs w:val="30"/>
        </w:rPr>
        <w:t xml:space="preserve">第十二条 </w:t>
      </w:r>
      <w:r>
        <w:rPr>
          <w:rFonts w:ascii="仿宋" w:hAnsi="仿宋" w:eastAsia="仿宋" w:cs="Times New Roman"/>
          <w:kern w:val="0"/>
          <w:sz w:val="32"/>
          <w:szCs w:val="30"/>
        </w:rPr>
        <w:t>交易市场提前通过</w:t>
      </w:r>
      <w:r>
        <w:rPr>
          <w:rFonts w:hint="eastAsia" w:ascii="仿宋" w:hAnsi="仿宋" w:eastAsia="仿宋" w:cs="Times New Roman"/>
          <w:kern w:val="0"/>
          <w:sz w:val="32"/>
          <w:szCs w:val="30"/>
        </w:rPr>
        <w:t>e棉网</w:t>
      </w:r>
      <w:r>
        <w:rPr>
          <w:rFonts w:hint="eastAsia" w:ascii="仿宋" w:hAnsi="仿宋" w:eastAsia="仿宋" w:cs="Times New Roman"/>
          <w:sz w:val="32"/>
          <w:szCs w:val="30"/>
        </w:rPr>
        <w:t>（网址：</w:t>
      </w:r>
      <w:r>
        <w:rPr>
          <w:rFonts w:ascii="仿宋" w:hAnsi="仿宋" w:eastAsia="仿宋" w:cs="Times New Roman"/>
          <w:sz w:val="28"/>
          <w:szCs w:val="24"/>
        </w:rPr>
        <w:t>http://www.cottoneasy.com</w:t>
      </w:r>
      <w:r>
        <w:rPr>
          <w:rFonts w:hint="eastAsia" w:ascii="仿宋" w:hAnsi="仿宋" w:eastAsia="仿宋" w:cs="Times New Roman"/>
          <w:sz w:val="32"/>
          <w:szCs w:val="30"/>
        </w:rPr>
        <w:t>）</w:t>
      </w:r>
      <w:r>
        <w:rPr>
          <w:rFonts w:hint="eastAsia" w:ascii="仿宋" w:hAnsi="仿宋" w:eastAsia="仿宋" w:cs="Times New Roman"/>
          <w:kern w:val="0"/>
          <w:sz w:val="32"/>
          <w:szCs w:val="30"/>
        </w:rPr>
        <w:t>、交易市场官网</w:t>
      </w:r>
      <w:r>
        <w:rPr>
          <w:rFonts w:hint="eastAsia" w:ascii="仿宋" w:hAnsi="仿宋" w:eastAsia="仿宋" w:cs="Times New Roman"/>
          <w:sz w:val="32"/>
          <w:szCs w:val="30"/>
        </w:rPr>
        <w:t>（网址：</w:t>
      </w:r>
      <w:r>
        <w:rPr>
          <w:rFonts w:ascii="仿宋" w:hAnsi="仿宋" w:eastAsia="仿宋" w:cs="Times New Roman"/>
          <w:sz w:val="28"/>
          <w:szCs w:val="24"/>
        </w:rPr>
        <w:t>http://www.cnce.cn</w:t>
      </w:r>
      <w:r>
        <w:rPr>
          <w:rFonts w:hint="eastAsia" w:ascii="仿宋" w:hAnsi="仿宋" w:eastAsia="仿宋" w:cs="Times New Roman"/>
          <w:sz w:val="32"/>
          <w:szCs w:val="30"/>
        </w:rPr>
        <w:t>）</w:t>
      </w:r>
      <w:r>
        <w:rPr>
          <w:rFonts w:hint="eastAsia" w:ascii="仿宋" w:hAnsi="仿宋" w:eastAsia="仿宋" w:cs="Times New Roman"/>
          <w:kern w:val="0"/>
          <w:sz w:val="32"/>
          <w:szCs w:val="30"/>
        </w:rPr>
        <w:t>、</w:t>
      </w:r>
      <w:r>
        <w:rPr>
          <w:rFonts w:ascii="仿宋" w:hAnsi="仿宋" w:eastAsia="仿宋" w:cs="Times New Roman"/>
          <w:kern w:val="0"/>
          <w:sz w:val="32"/>
          <w:szCs w:val="30"/>
        </w:rPr>
        <w:t>中国棉花信息网</w:t>
      </w:r>
      <w:r>
        <w:rPr>
          <w:rFonts w:hint="eastAsia" w:ascii="仿宋" w:hAnsi="仿宋" w:eastAsia="仿宋" w:cs="Times New Roman"/>
          <w:sz w:val="32"/>
          <w:szCs w:val="30"/>
        </w:rPr>
        <w:t>（网址：</w:t>
      </w:r>
      <w:r>
        <w:rPr>
          <w:rFonts w:ascii="仿宋" w:hAnsi="仿宋" w:eastAsia="仿宋" w:cs="Times New Roman"/>
          <w:sz w:val="28"/>
          <w:szCs w:val="24"/>
        </w:rPr>
        <w:t>http://www.cottonchina.org.cn</w:t>
      </w:r>
      <w:r>
        <w:rPr>
          <w:rFonts w:hint="eastAsia" w:ascii="仿宋" w:hAnsi="仿宋" w:eastAsia="仿宋" w:cs="Times New Roman"/>
          <w:sz w:val="32"/>
          <w:szCs w:val="30"/>
        </w:rPr>
        <w:t>）</w:t>
      </w:r>
      <w:r>
        <w:rPr>
          <w:rFonts w:ascii="仿宋" w:hAnsi="仿宋" w:eastAsia="仿宋" w:cs="Times New Roman"/>
          <w:kern w:val="0"/>
          <w:sz w:val="32"/>
          <w:szCs w:val="30"/>
        </w:rPr>
        <w:t>公开发布有关</w:t>
      </w:r>
      <w:r>
        <w:rPr>
          <w:rFonts w:hint="eastAsia" w:ascii="仿宋" w:hAnsi="仿宋" w:eastAsia="仿宋" w:cs="Times New Roman"/>
          <w:kern w:val="0"/>
          <w:sz w:val="32"/>
          <w:szCs w:val="30"/>
        </w:rPr>
        <w:t>交易</w:t>
      </w:r>
      <w:r>
        <w:rPr>
          <w:rFonts w:ascii="仿宋" w:hAnsi="仿宋" w:eastAsia="仿宋" w:cs="Times New Roman"/>
          <w:kern w:val="0"/>
          <w:sz w:val="32"/>
          <w:szCs w:val="30"/>
        </w:rPr>
        <w:t>信息</w:t>
      </w:r>
      <w:r>
        <w:rPr>
          <w:rFonts w:hint="eastAsia" w:ascii="仿宋" w:hAnsi="仿宋" w:eastAsia="仿宋" w:cs="Times New Roman"/>
          <w:kern w:val="0"/>
          <w:sz w:val="32"/>
          <w:szCs w:val="30"/>
        </w:rPr>
        <w:t>。</w:t>
      </w:r>
    </w:p>
    <w:p w14:paraId="0187868F">
      <w:pPr>
        <w:widowControl/>
        <w:snapToGrid w:val="0"/>
        <w:spacing w:before="156" w:beforeLines="50" w:line="560" w:lineRule="atLeast"/>
        <w:ind w:firstLine="588"/>
        <w:contextualSpacing/>
        <w:rPr>
          <w:rFonts w:ascii="黑体" w:hAnsi="黑体" w:eastAsia="黑体" w:cs="Times New Roman"/>
          <w:kern w:val="0"/>
          <w:sz w:val="32"/>
          <w:szCs w:val="30"/>
        </w:rPr>
      </w:pPr>
      <w:r>
        <w:rPr>
          <w:rFonts w:hint="eastAsia" w:ascii="黑体" w:hAnsi="黑体" w:eastAsia="黑体" w:cs="Times New Roman"/>
          <w:sz w:val="32"/>
          <w:szCs w:val="30"/>
        </w:rPr>
        <w:t>第十三条</w:t>
      </w:r>
      <w:r>
        <w:rPr>
          <w:rFonts w:hint="eastAsia" w:ascii="仿宋" w:hAnsi="仿宋" w:eastAsia="仿宋" w:cs="Times New Roman"/>
          <w:sz w:val="32"/>
          <w:szCs w:val="30"/>
        </w:rPr>
        <w:t xml:space="preserve">  商品棉交易成交后，交易系统自动生成合同，买卖双方须在规定时间内签订合同。除另有规定外，交易市场发布的商品棉交易交割办法（包括以“通知”形式发布的有关规定）对交易相关各方均有约束力。交易市场作为合同见证方并非本条所述合同的当事方，不承担任何合同责任。</w:t>
      </w:r>
    </w:p>
    <w:p w14:paraId="403A5F3F">
      <w:pPr>
        <w:snapToGrid w:val="0"/>
        <w:spacing w:before="156" w:beforeLines="50" w:line="560" w:lineRule="atLeast"/>
        <w:contextualSpacing/>
        <w:jc w:val="center"/>
        <w:rPr>
          <w:rFonts w:ascii="仿宋" w:hAnsi="仿宋" w:eastAsia="仿宋" w:cs="Times New Roman"/>
          <w:b/>
          <w:bCs/>
          <w:sz w:val="32"/>
          <w:szCs w:val="30"/>
        </w:rPr>
      </w:pPr>
      <w:r>
        <w:rPr>
          <w:rFonts w:hint="eastAsia" w:ascii="黑体" w:hAnsi="黑体" w:eastAsia="黑体" w:cs="Times New Roman"/>
          <w:kern w:val="0"/>
          <w:sz w:val="32"/>
          <w:szCs w:val="30"/>
        </w:rPr>
        <w:t>第二节  交易时间</w:t>
      </w:r>
    </w:p>
    <w:p w14:paraId="7FE639C3">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 xml:space="preserve">第十四条  </w:t>
      </w:r>
      <w:r>
        <w:rPr>
          <w:rFonts w:hint="eastAsia" w:ascii="仿宋" w:hAnsi="仿宋" w:eastAsia="仿宋" w:cs="Times New Roman"/>
          <w:sz w:val="32"/>
          <w:szCs w:val="30"/>
        </w:rPr>
        <w:t>商品棉交易时间为国家规定的全国法定工作日，具体交易时间如下：</w:t>
      </w:r>
    </w:p>
    <w:tbl>
      <w:tblPr>
        <w:tblStyle w:val="6"/>
        <w:tblW w:w="8320" w:type="dxa"/>
        <w:tblInd w:w="98" w:type="dxa"/>
        <w:tblLayout w:type="fixed"/>
        <w:tblCellMar>
          <w:top w:w="0" w:type="dxa"/>
          <w:left w:w="108" w:type="dxa"/>
          <w:bottom w:w="0" w:type="dxa"/>
          <w:right w:w="108" w:type="dxa"/>
        </w:tblCellMar>
      </w:tblPr>
      <w:tblGrid>
        <w:gridCol w:w="1230"/>
        <w:gridCol w:w="1283"/>
        <w:gridCol w:w="1254"/>
        <w:gridCol w:w="1207"/>
        <w:gridCol w:w="1306"/>
        <w:gridCol w:w="2040"/>
      </w:tblGrid>
      <w:tr w14:paraId="1B5C82B7">
        <w:tblPrEx>
          <w:tblCellMar>
            <w:top w:w="0" w:type="dxa"/>
            <w:left w:w="108" w:type="dxa"/>
            <w:bottom w:w="0" w:type="dxa"/>
            <w:right w:w="108" w:type="dxa"/>
          </w:tblCellMar>
        </w:tblPrEx>
        <w:trPr>
          <w:trHeight w:val="3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6460">
            <w:pPr>
              <w:widowControl/>
              <w:spacing w:before="156" w:beforeLines="5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交易方式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362">
            <w:pPr>
              <w:widowControl/>
              <w:spacing w:before="156" w:beforeLines="5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竞卖交易</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9165">
            <w:pPr>
              <w:widowControl/>
              <w:spacing w:before="156" w:beforeLines="5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竞买交易</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C704">
            <w:pPr>
              <w:widowControl/>
              <w:spacing w:before="156" w:beforeLines="5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协商交易</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F402">
            <w:pPr>
              <w:widowControl/>
              <w:spacing w:before="156" w:beforeLines="5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网上超市</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E5D6">
            <w:pPr>
              <w:widowControl/>
              <w:spacing w:before="156" w:beforeLines="50"/>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基差交易</w:t>
            </w:r>
          </w:p>
        </w:tc>
      </w:tr>
      <w:tr w14:paraId="3DCC7240">
        <w:tblPrEx>
          <w:tblCellMar>
            <w:top w:w="0" w:type="dxa"/>
            <w:left w:w="108" w:type="dxa"/>
            <w:bottom w:w="0" w:type="dxa"/>
            <w:right w:w="108" w:type="dxa"/>
          </w:tblCellMar>
        </w:tblPrEx>
        <w:trPr>
          <w:trHeight w:val="12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BEEA">
            <w:pPr>
              <w:widowControl/>
              <w:spacing w:before="156" w:beforeLines="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交易时间</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5E500">
            <w:pPr>
              <w:widowControl/>
              <w:spacing w:before="156" w:beforeLines="5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以交易预告通知的日期为准，交易当日15:00开市，直至闭市</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6E3">
            <w:pPr>
              <w:widowControl/>
              <w:spacing w:before="156" w:beforeLines="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全天</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3F98">
            <w:pPr>
              <w:widowControl/>
              <w:spacing w:before="156" w:beforeLines="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全天</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4DE">
            <w:pPr>
              <w:widowControl/>
              <w:spacing w:before="156" w:beforeLines="5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法定工作日（周六、日除外）9:00-11:30</w:t>
            </w:r>
          </w:p>
          <w:p w14:paraId="2B3A48C4">
            <w:pPr>
              <w:widowControl/>
              <w:spacing w:before="156" w:beforeLines="5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13：30-15:00</w:t>
            </w:r>
          </w:p>
        </w:tc>
      </w:tr>
    </w:tbl>
    <w:p w14:paraId="50A7579C">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交易市场认为必要时，可以调整商品棉交易时间，包括不开市、延时开市、延时闭市、提前闭市或暂停交易等。具体交易时间由交易市场以“通知”或“预告”等形式对外发布。</w:t>
      </w:r>
    </w:p>
    <w:p w14:paraId="312D5AE0">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第十五条</w:t>
      </w:r>
      <w:r>
        <w:rPr>
          <w:rFonts w:hint="eastAsia" w:ascii="仿宋" w:hAnsi="仿宋" w:eastAsia="仿宋" w:cs="Times New Roman"/>
          <w:sz w:val="32"/>
          <w:szCs w:val="30"/>
        </w:rPr>
        <w:t xml:space="preserve">  国家规定的全国法定工作日方可办理商品棉交易成交后的各项业务手续。</w:t>
      </w:r>
    </w:p>
    <w:p w14:paraId="35512CB9">
      <w:pPr>
        <w:snapToGrid w:val="0"/>
        <w:spacing w:before="156" w:beforeLines="50" w:line="560" w:lineRule="atLeast"/>
        <w:ind w:firstLine="600"/>
        <w:contextualSpacing/>
        <w:jc w:val="center"/>
        <w:rPr>
          <w:rFonts w:ascii="仿宋" w:hAnsi="仿宋" w:eastAsia="仿宋" w:cs="Times New Roman"/>
          <w:sz w:val="32"/>
          <w:szCs w:val="30"/>
        </w:rPr>
      </w:pPr>
      <w:r>
        <w:rPr>
          <w:rFonts w:hint="eastAsia" w:ascii="黑体" w:hAnsi="黑体" w:eastAsia="黑体" w:cs="Times New Roman"/>
          <w:kern w:val="0"/>
          <w:sz w:val="32"/>
          <w:szCs w:val="30"/>
        </w:rPr>
        <w:t>第三节  保证金</w:t>
      </w:r>
    </w:p>
    <w:p w14:paraId="13A66667">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第十六条</w:t>
      </w:r>
      <w:r>
        <w:rPr>
          <w:rFonts w:hint="eastAsia" w:ascii="仿宋" w:hAnsi="仿宋" w:eastAsia="仿宋" w:cs="Times New Roman"/>
          <w:sz w:val="32"/>
          <w:szCs w:val="30"/>
        </w:rPr>
        <w:t xml:space="preserve">  参与商品棉交易的交易商，交易前需在交易市场指定账户内预存一定数额的资金作为交易保证金</w:t>
      </w:r>
      <w:r>
        <w:rPr>
          <w:rFonts w:hint="eastAsia" w:ascii="仿宋" w:hAnsi="仿宋" w:eastAsia="仿宋" w:cs="Times New Roman"/>
          <w:sz w:val="32"/>
        </w:rPr>
        <w:t>。交易保证金不足时，无法参与交易</w:t>
      </w:r>
      <w:r>
        <w:rPr>
          <w:rFonts w:hint="eastAsia" w:ascii="仿宋" w:hAnsi="仿宋" w:eastAsia="仿宋" w:cs="Times New Roman"/>
          <w:sz w:val="32"/>
          <w:szCs w:val="30"/>
        </w:rPr>
        <w:t>。交易商可向交易市场提交申请，使用未被占用的仓单抵免交易保证金。</w:t>
      </w:r>
    </w:p>
    <w:p w14:paraId="67670B14">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 xml:space="preserve">第十七条  </w:t>
      </w:r>
      <w:r>
        <w:rPr>
          <w:rFonts w:hint="eastAsia" w:ascii="仿宋" w:hAnsi="仿宋" w:eastAsia="仿宋" w:cs="Times New Roman"/>
          <w:sz w:val="32"/>
          <w:szCs w:val="24"/>
        </w:rPr>
        <w:t>交易保证金分为履约保证金与质量重量保证金。</w:t>
      </w:r>
    </w:p>
    <w:p w14:paraId="3D31340B">
      <w:pPr>
        <w:widowControl/>
        <w:snapToGrid w:val="0"/>
        <w:spacing w:before="156" w:beforeLines="50" w:line="560" w:lineRule="atLeast"/>
        <w:ind w:firstLine="640" w:firstLineChars="200"/>
        <w:contextualSpacing/>
        <w:rPr>
          <w:rFonts w:ascii="仿宋" w:hAnsi="仿宋" w:eastAsia="仿宋" w:cs="Times New Roman"/>
          <w:kern w:val="0"/>
          <w:sz w:val="32"/>
          <w:szCs w:val="16"/>
        </w:rPr>
      </w:pPr>
      <w:r>
        <w:rPr>
          <w:rFonts w:hint="eastAsia" w:ascii="仿宋" w:hAnsi="仿宋" w:eastAsia="仿宋" w:cs="Times New Roman"/>
          <w:kern w:val="0"/>
          <w:sz w:val="32"/>
          <w:szCs w:val="20"/>
        </w:rPr>
        <w:t>履约保证金是指交易市场为了确保买卖双方履行其在参与交易市场商品棉交易交割过程中，所作出的承诺或所签署的合同而按照一定标准冻结的资金</w:t>
      </w:r>
      <w:r>
        <w:rPr>
          <w:rFonts w:hint="eastAsia" w:ascii="仿宋" w:hAnsi="仿宋" w:eastAsia="仿宋" w:cs="Times New Roman"/>
          <w:kern w:val="0"/>
          <w:sz w:val="32"/>
          <w:szCs w:val="16"/>
        </w:rPr>
        <w:t>。</w:t>
      </w:r>
    </w:p>
    <w:p w14:paraId="18F2A8EF">
      <w:pPr>
        <w:widowControl/>
        <w:snapToGrid w:val="0"/>
        <w:spacing w:before="156" w:beforeLines="50" w:line="560" w:lineRule="atLeast"/>
        <w:ind w:firstLine="640" w:firstLineChars="200"/>
        <w:contextualSpacing/>
        <w:rPr>
          <w:rFonts w:ascii="仿宋" w:hAnsi="仿宋" w:eastAsia="仿宋" w:cs="Times New Roman"/>
          <w:sz w:val="32"/>
          <w:szCs w:val="24"/>
        </w:rPr>
      </w:pPr>
      <w:r>
        <w:rPr>
          <w:rFonts w:hint="eastAsia" w:ascii="仿宋" w:hAnsi="仿宋" w:eastAsia="仿宋" w:cs="Times New Roman"/>
          <w:sz w:val="32"/>
          <w:szCs w:val="24"/>
        </w:rPr>
        <w:t>质量重量保证金是指有关商品的卖方用于保证出售的有关商品的质量重量符合合同约定的资金。</w:t>
      </w:r>
    </w:p>
    <w:p w14:paraId="5F23990A">
      <w:pPr>
        <w:widowControl/>
        <w:snapToGrid w:val="0"/>
        <w:spacing w:before="156" w:beforeLines="50" w:line="560" w:lineRule="atLeast"/>
        <w:ind w:firstLine="640" w:firstLineChars="200"/>
        <w:contextualSpacing/>
        <w:rPr>
          <w:rFonts w:ascii="仿宋" w:hAnsi="仿宋" w:eastAsia="仿宋" w:cs="Times New Roman"/>
          <w:kern w:val="0"/>
          <w:sz w:val="32"/>
          <w:szCs w:val="16"/>
        </w:rPr>
      </w:pPr>
      <w:r>
        <w:rPr>
          <w:rFonts w:hint="eastAsia" w:ascii="仿宋" w:hAnsi="仿宋" w:eastAsia="仿宋" w:cs="Times New Roman"/>
          <w:kern w:val="0"/>
          <w:sz w:val="32"/>
          <w:szCs w:val="20"/>
        </w:rPr>
        <w:t>交易商存放在交易市场的资金不足时，交易市场</w:t>
      </w:r>
      <w:r>
        <w:rPr>
          <w:rFonts w:hint="eastAsia" w:ascii="仿宋" w:hAnsi="仿宋" w:eastAsia="仿宋" w:cs="Times New Roman"/>
          <w:kern w:val="0"/>
          <w:sz w:val="32"/>
          <w:szCs w:val="16"/>
        </w:rPr>
        <w:t>有权从成交货款中划扣一定数额的资金，用作交易保证金或支付相关业务的费用。</w:t>
      </w:r>
    </w:p>
    <w:p w14:paraId="28D174E8">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第十八条</w:t>
      </w:r>
      <w:r>
        <w:rPr>
          <w:rFonts w:hint="eastAsia" w:ascii="仿宋" w:hAnsi="仿宋" w:eastAsia="仿宋" w:cs="Times New Roman"/>
          <w:sz w:val="32"/>
          <w:szCs w:val="30"/>
        </w:rPr>
        <w:t xml:space="preserve">  商品棉交易合同的计量单位为“吨”，计价单位为“元/吨”（含税），其它约定如下：</w:t>
      </w:r>
    </w:p>
    <w:tbl>
      <w:tblPr>
        <w:tblStyle w:val="6"/>
        <w:tblW w:w="8370" w:type="dxa"/>
        <w:jc w:val="center"/>
        <w:tblLayout w:type="fixed"/>
        <w:tblCellMar>
          <w:top w:w="0" w:type="dxa"/>
          <w:left w:w="108" w:type="dxa"/>
          <w:bottom w:w="0" w:type="dxa"/>
          <w:right w:w="108" w:type="dxa"/>
        </w:tblCellMar>
      </w:tblPr>
      <w:tblGrid>
        <w:gridCol w:w="2151"/>
        <w:gridCol w:w="1185"/>
        <w:gridCol w:w="1200"/>
        <w:gridCol w:w="1223"/>
        <w:gridCol w:w="1185"/>
        <w:gridCol w:w="1426"/>
      </w:tblGrid>
      <w:tr w14:paraId="29286EBE">
        <w:tblPrEx>
          <w:tblCellMar>
            <w:top w:w="0" w:type="dxa"/>
            <w:left w:w="108" w:type="dxa"/>
            <w:bottom w:w="0" w:type="dxa"/>
            <w:right w:w="108" w:type="dxa"/>
          </w:tblCellMar>
        </w:tblPrEx>
        <w:trPr>
          <w:trHeight w:val="300"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0B69">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交易方式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A1AA">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竞卖交易</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06E">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竞买交易</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84F8">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网上超市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B0C8">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基差交易</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C4F1">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协商交易</w:t>
            </w:r>
          </w:p>
        </w:tc>
      </w:tr>
      <w:tr w14:paraId="27B391A1">
        <w:tblPrEx>
          <w:tblCellMar>
            <w:top w:w="0" w:type="dxa"/>
            <w:left w:w="108" w:type="dxa"/>
            <w:bottom w:w="0" w:type="dxa"/>
            <w:right w:w="108" w:type="dxa"/>
          </w:tblCellMar>
        </w:tblPrEx>
        <w:trPr>
          <w:trHeight w:val="300"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CD92">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价格最小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变动单位</w:t>
            </w:r>
          </w:p>
        </w:tc>
        <w:tc>
          <w:tcPr>
            <w:tcW w:w="47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2E94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10元/吨</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1F3A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根据买卖双方约定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0-3000元/吨</w:t>
            </w:r>
          </w:p>
        </w:tc>
      </w:tr>
      <w:tr w14:paraId="35D6D257">
        <w:tblPrEx>
          <w:tblCellMar>
            <w:top w:w="0" w:type="dxa"/>
            <w:left w:w="108" w:type="dxa"/>
            <w:bottom w:w="0" w:type="dxa"/>
            <w:right w:w="108" w:type="dxa"/>
          </w:tblCellMar>
        </w:tblPrEx>
        <w:trPr>
          <w:trHeight w:val="300"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F2F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履约保证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金标准</w:t>
            </w:r>
          </w:p>
        </w:tc>
        <w:tc>
          <w:tcPr>
            <w:tcW w:w="47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24648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1000元/吨</w:t>
            </w: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0415">
            <w:pPr>
              <w:jc w:val="center"/>
              <w:rPr>
                <w:rFonts w:ascii="仿宋" w:hAnsi="仿宋" w:eastAsia="仿宋" w:cs="仿宋"/>
                <w:color w:val="000000"/>
                <w:sz w:val="24"/>
                <w:szCs w:val="24"/>
              </w:rPr>
            </w:pPr>
          </w:p>
        </w:tc>
      </w:tr>
      <w:tr w14:paraId="5117FFE4">
        <w:tblPrEx>
          <w:tblCellMar>
            <w:top w:w="0" w:type="dxa"/>
            <w:left w:w="108" w:type="dxa"/>
            <w:bottom w:w="0" w:type="dxa"/>
            <w:right w:w="108" w:type="dxa"/>
          </w:tblCellMar>
        </w:tblPrEx>
        <w:trPr>
          <w:trHeight w:val="300"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BE3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合同重量</w:t>
            </w:r>
          </w:p>
        </w:tc>
        <w:tc>
          <w:tcPr>
            <w:tcW w:w="6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57D6C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公定重量</w:t>
            </w:r>
          </w:p>
        </w:tc>
      </w:tr>
      <w:tr w14:paraId="1F9C1ACB">
        <w:tblPrEx>
          <w:tblCellMar>
            <w:top w:w="0" w:type="dxa"/>
            <w:left w:w="108" w:type="dxa"/>
            <w:bottom w:w="0" w:type="dxa"/>
            <w:right w:w="108" w:type="dxa"/>
          </w:tblCellMar>
        </w:tblPrEx>
        <w:trPr>
          <w:trHeight w:val="300" w:hRule="atLeast"/>
          <w:jc w:val="center"/>
        </w:trPr>
        <w:tc>
          <w:tcPr>
            <w:tcW w:w="2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341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成交原则</w:t>
            </w:r>
          </w:p>
        </w:tc>
        <w:tc>
          <w:tcPr>
            <w:tcW w:w="62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F22417">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价格优先、时间优先</w:t>
            </w:r>
          </w:p>
        </w:tc>
      </w:tr>
    </w:tbl>
    <w:p w14:paraId="44B1353B">
      <w:pPr>
        <w:snapToGrid w:val="0"/>
        <w:spacing w:before="156" w:beforeLines="50" w:line="560" w:lineRule="atLeast"/>
        <w:ind w:firstLine="672" w:firstLineChars="200"/>
        <w:contextualSpacing/>
        <w:rPr>
          <w:rFonts w:ascii="仿宋" w:hAnsi="仿宋" w:eastAsia="仿宋" w:cs="Times New Roman"/>
          <w:color w:val="000000" w:themeColor="text1"/>
          <w:spacing w:val="8"/>
          <w:sz w:val="32"/>
          <w14:textFill>
            <w14:solidFill>
              <w14:schemeClr w14:val="tx1"/>
            </w14:solidFill>
          </w14:textFill>
        </w:rPr>
      </w:pPr>
      <w:r>
        <w:rPr>
          <w:rFonts w:hint="eastAsia" w:ascii="仿宋" w:hAnsi="仿宋" w:eastAsia="仿宋" w:cs="Times New Roman"/>
          <w:color w:val="000000" w:themeColor="text1"/>
          <w:spacing w:val="8"/>
          <w:sz w:val="32"/>
          <w14:textFill>
            <w14:solidFill>
              <w14:schemeClr w14:val="tx1"/>
            </w14:solidFill>
          </w14:textFill>
        </w:rPr>
        <w:t>交易市场可根据市场行情变化，对履约保证金标准进行调整，并提前对外公布。</w:t>
      </w:r>
    </w:p>
    <w:p w14:paraId="202C932B">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第十九条</w:t>
      </w:r>
      <w:r>
        <w:rPr>
          <w:rFonts w:hint="eastAsia" w:ascii="仿宋" w:hAnsi="仿宋" w:eastAsia="仿宋" w:cs="Times New Roman"/>
          <w:sz w:val="32"/>
          <w:szCs w:val="30"/>
        </w:rPr>
        <w:t xml:space="preserve">  卖方按合同约定时间提交合格仓单，或将货权转移至买方，由交易市场释放卖方对应履约保证金。买方按合同约定时间向交易市场支付买方全额货款（买方参与仓单质押业务的，按有关规定执行）后，由交易市场释放买方对应履约保证金。</w:t>
      </w:r>
    </w:p>
    <w:p w14:paraId="51E771A9">
      <w:pPr>
        <w:widowControl/>
        <w:snapToGrid w:val="0"/>
        <w:spacing w:before="156" w:beforeLines="50" w:line="560" w:lineRule="atLeast"/>
        <w:ind w:firstLine="588"/>
        <w:contextualSpacing/>
        <w:rPr>
          <w:rFonts w:ascii="仿宋" w:hAnsi="仿宋" w:eastAsia="仿宋" w:cs="Times New Roman"/>
          <w:sz w:val="32"/>
        </w:rPr>
      </w:pPr>
      <w:r>
        <w:rPr>
          <w:rFonts w:hint="eastAsia" w:ascii="黑体" w:hAnsi="黑体" w:eastAsia="黑体" w:cs="Times New Roman"/>
          <w:sz w:val="32"/>
          <w:szCs w:val="30"/>
        </w:rPr>
        <w:t>第二十条</w:t>
      </w:r>
      <w:r>
        <w:rPr>
          <w:rFonts w:hint="eastAsia" w:ascii="仿宋" w:hAnsi="仿宋" w:eastAsia="仿宋" w:cs="Times New Roman"/>
          <w:sz w:val="32"/>
          <w:szCs w:val="30"/>
        </w:rPr>
        <w:t xml:space="preserve">  </w:t>
      </w:r>
      <w:r>
        <w:rPr>
          <w:rFonts w:hint="eastAsia" w:ascii="仿宋" w:hAnsi="仿宋" w:eastAsia="仿宋" w:cs="Times New Roman"/>
          <w:sz w:val="32"/>
        </w:rPr>
        <w:t>交易商可通过交易系统查询商品棉交易成交情况，核对交易数据、保证金冻结和费用扣划情况。交易商如在下一个工作日17：00前未向交易市场提出书面异议，则视为无异议。</w:t>
      </w:r>
    </w:p>
    <w:p w14:paraId="29821D5C">
      <w:pPr>
        <w:widowControl/>
        <w:snapToGrid w:val="0"/>
        <w:spacing w:before="156" w:beforeLines="50" w:line="560" w:lineRule="atLeast"/>
        <w:contextualSpacing/>
        <w:jc w:val="center"/>
        <w:rPr>
          <w:rFonts w:ascii="黑体" w:hAnsi="黑体" w:eastAsia="黑体" w:cs="Times New Roman"/>
          <w:kern w:val="0"/>
          <w:sz w:val="32"/>
          <w:szCs w:val="30"/>
        </w:rPr>
      </w:pPr>
    </w:p>
    <w:p w14:paraId="7F685F55">
      <w:pPr>
        <w:widowControl/>
        <w:numPr>
          <w:ilvl w:val="0"/>
          <w:numId w:val="1"/>
        </w:numPr>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 xml:space="preserve"> 交割</w:t>
      </w:r>
    </w:p>
    <w:p w14:paraId="3EA33368">
      <w:pPr>
        <w:widowControl/>
        <w:numPr>
          <w:ilvl w:val="255"/>
          <w:numId w:val="0"/>
        </w:numPr>
        <w:snapToGrid w:val="0"/>
        <w:spacing w:before="156" w:beforeLines="50" w:line="560" w:lineRule="atLeast"/>
        <w:ind w:firstLine="640" w:firstLineChars="200"/>
        <w:contextualSpacing/>
        <w:rPr>
          <w:rFonts w:ascii="黑体" w:hAnsi="黑体" w:eastAsia="黑体" w:cs="Times New Roman"/>
          <w:kern w:val="0"/>
          <w:sz w:val="32"/>
          <w:szCs w:val="30"/>
        </w:rPr>
      </w:pPr>
      <w:r>
        <w:rPr>
          <w:rFonts w:hint="eastAsia" w:ascii="黑体" w:hAnsi="黑体" w:eastAsia="黑体" w:cs="Times New Roman"/>
          <w:sz w:val="32"/>
          <w:szCs w:val="30"/>
        </w:rPr>
        <w:t xml:space="preserve">第二十一条  </w:t>
      </w:r>
      <w:r>
        <w:rPr>
          <w:rFonts w:hint="eastAsia" w:ascii="仿宋" w:hAnsi="仿宋" w:eastAsia="仿宋" w:cs="Times New Roman"/>
          <w:sz w:val="32"/>
          <w:szCs w:val="30"/>
        </w:rPr>
        <w:t>商品棉交割是指买卖双方通过交易系统成交后，在约定的时间、地点，将仓单和仓单对应的</w:t>
      </w:r>
      <w:r>
        <w:rPr>
          <w:rFonts w:hint="eastAsia" w:ascii="仿宋" w:hAnsi="仿宋" w:eastAsia="仿宋" w:cs="Times New Roman"/>
          <w:sz w:val="32"/>
        </w:rPr>
        <w:t>质量、重量检验数据凭证或</w:t>
      </w:r>
      <w:r>
        <w:rPr>
          <w:rFonts w:hint="eastAsia" w:ascii="仿宋" w:hAnsi="仿宋" w:eastAsia="仿宋" w:cs="Times New Roman"/>
          <w:sz w:val="32"/>
          <w:szCs w:val="30"/>
        </w:rPr>
        <w:t>买卖双方及仓库认可的提货凭证（以下简称“提货凭证”）与货款进行交换，以履行合同的行为。</w:t>
      </w:r>
    </w:p>
    <w:p w14:paraId="14C48421">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第二十二条  </w:t>
      </w:r>
      <w:r>
        <w:rPr>
          <w:rFonts w:hint="eastAsia" w:ascii="仿宋" w:hAnsi="仿宋" w:eastAsia="仿宋" w:cs="Times New Roman"/>
          <w:sz w:val="32"/>
          <w:szCs w:val="30"/>
        </w:rPr>
        <w:t>货款流转及货物交割流程：</w:t>
      </w:r>
    </w:p>
    <w:tbl>
      <w:tblPr>
        <w:tblStyle w:val="6"/>
        <w:tblpPr w:leftFromText="180" w:rightFromText="180" w:vertAnchor="text" w:horzAnchor="margin" w:tblpY="114"/>
        <w:tblOverlap w:val="never"/>
        <w:tblW w:w="8260" w:type="dxa"/>
        <w:tblInd w:w="0" w:type="dxa"/>
        <w:tblLayout w:type="fixed"/>
        <w:tblCellMar>
          <w:top w:w="0" w:type="dxa"/>
          <w:left w:w="108" w:type="dxa"/>
          <w:bottom w:w="0" w:type="dxa"/>
          <w:right w:w="108" w:type="dxa"/>
        </w:tblCellMar>
      </w:tblPr>
      <w:tblGrid>
        <w:gridCol w:w="1666"/>
        <w:gridCol w:w="1194"/>
        <w:gridCol w:w="1350"/>
        <w:gridCol w:w="1350"/>
        <w:gridCol w:w="1350"/>
        <w:gridCol w:w="1350"/>
      </w:tblGrid>
      <w:tr w14:paraId="580F119F">
        <w:tblPrEx>
          <w:tblCellMar>
            <w:top w:w="0" w:type="dxa"/>
            <w:left w:w="108" w:type="dxa"/>
            <w:bottom w:w="0" w:type="dxa"/>
            <w:right w:w="108" w:type="dxa"/>
          </w:tblCellMar>
        </w:tblPrEx>
        <w:trPr>
          <w:trHeight w:val="300"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6EA0">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交易方式</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6B0">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竞卖交易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A0AA">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竞买交易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AEA">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网上超市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380E">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基差交易</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CCFF">
            <w:pPr>
              <w:widowControl/>
              <w:jc w:val="center"/>
              <w:textAlignment w:val="center"/>
              <w:rPr>
                <w:rFonts w:ascii="仿宋" w:hAnsi="仿宋" w:eastAsia="仿宋" w:cs="仿宋"/>
                <w:b/>
                <w:bCs/>
                <w:color w:val="000000"/>
                <w:sz w:val="24"/>
                <w:szCs w:val="24"/>
              </w:rPr>
            </w:pPr>
            <w:r>
              <w:rPr>
                <w:rFonts w:hint="eastAsia" w:ascii="仿宋" w:hAnsi="仿宋" w:eastAsia="仿宋" w:cs="仿宋"/>
                <w:b/>
                <w:color w:val="000000"/>
                <w:kern w:val="0"/>
                <w:sz w:val="24"/>
                <w:szCs w:val="24"/>
                <w:lang w:bidi="ar"/>
              </w:rPr>
              <w:t>协商交易</w:t>
            </w:r>
          </w:p>
        </w:tc>
      </w:tr>
      <w:tr w14:paraId="5391959F">
        <w:tblPrEx>
          <w:tblCellMar>
            <w:top w:w="0" w:type="dxa"/>
            <w:left w:w="108" w:type="dxa"/>
            <w:bottom w:w="0" w:type="dxa"/>
            <w:right w:w="108" w:type="dxa"/>
          </w:tblCellMar>
        </w:tblPrEx>
        <w:trPr>
          <w:trHeight w:val="280"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DED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签订合同</w:t>
            </w:r>
          </w:p>
        </w:tc>
        <w:tc>
          <w:tcPr>
            <w:tcW w:w="52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0C09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成交后2个工作日内（含）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2878">
            <w:pPr>
              <w:widowControl/>
              <w:jc w:val="center"/>
              <w:textAlignment w:val="center"/>
            </w:pPr>
            <w:r>
              <w:rPr>
                <w:rFonts w:hint="eastAsia" w:ascii="仿宋" w:hAnsi="仿宋" w:eastAsia="仿宋" w:cs="仿宋"/>
                <w:color w:val="000000"/>
                <w:kern w:val="0"/>
                <w:sz w:val="24"/>
                <w:szCs w:val="24"/>
                <w:lang w:bidi="ar"/>
              </w:rPr>
              <w:t>以合同约定为准</w:t>
            </w:r>
          </w:p>
        </w:tc>
      </w:tr>
      <w:tr w14:paraId="35327E92">
        <w:tblPrEx>
          <w:tblCellMar>
            <w:top w:w="0" w:type="dxa"/>
            <w:left w:w="108" w:type="dxa"/>
            <w:bottom w:w="0" w:type="dxa"/>
            <w:right w:w="108" w:type="dxa"/>
          </w:tblCellMar>
        </w:tblPrEx>
        <w:trPr>
          <w:trHeight w:val="600"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EF9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买方付款</w:t>
            </w:r>
          </w:p>
        </w:tc>
        <w:tc>
          <w:tcPr>
            <w:tcW w:w="52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6400D6">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成交后3个工作日内（含）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F5C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以合同约定为准</w:t>
            </w:r>
          </w:p>
        </w:tc>
      </w:tr>
      <w:tr w14:paraId="129AC8DC">
        <w:tblPrEx>
          <w:tblCellMar>
            <w:top w:w="0" w:type="dxa"/>
            <w:left w:w="108" w:type="dxa"/>
            <w:bottom w:w="0" w:type="dxa"/>
            <w:right w:w="108" w:type="dxa"/>
          </w:tblCellMar>
        </w:tblPrEx>
        <w:trPr>
          <w:trHeight w:val="597"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E8D5">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交货地点</w:t>
            </w:r>
          </w:p>
        </w:tc>
        <w:tc>
          <w:tcPr>
            <w:tcW w:w="65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26C50">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以合同约定为准</w:t>
            </w:r>
          </w:p>
        </w:tc>
      </w:tr>
      <w:tr w14:paraId="6AD7E4BC">
        <w:tblPrEx>
          <w:tblCellMar>
            <w:top w:w="0" w:type="dxa"/>
            <w:left w:w="108" w:type="dxa"/>
            <w:bottom w:w="0" w:type="dxa"/>
            <w:right w:w="108" w:type="dxa"/>
          </w:tblCellMar>
        </w:tblPrEx>
        <w:trPr>
          <w:trHeight w:val="642"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5AB">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仓单过户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（货权变更）</w:t>
            </w:r>
          </w:p>
        </w:tc>
        <w:tc>
          <w:tcPr>
            <w:tcW w:w="65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F33D1">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收到买方货款后办理仓单过户（货权变更）</w:t>
            </w:r>
          </w:p>
        </w:tc>
      </w:tr>
      <w:tr w14:paraId="4E3402C5">
        <w:tblPrEx>
          <w:tblCellMar>
            <w:top w:w="0" w:type="dxa"/>
            <w:left w:w="108" w:type="dxa"/>
            <w:bottom w:w="0" w:type="dxa"/>
            <w:right w:w="108" w:type="dxa"/>
          </w:tblCellMar>
        </w:tblPrEx>
        <w:trPr>
          <w:trHeight w:val="640"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705D">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首付款</w:t>
            </w:r>
          </w:p>
        </w:tc>
        <w:tc>
          <w:tcPr>
            <w:tcW w:w="65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4A39C">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委托交易市场办理仓单过户的，收到买方货款后1个工作日内，交易市场付货款至卖方账户。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自行办理货权变更的，交易市场先通知卖方为买方办理提货（货权变更至买方）。买方按合同约定确认货物质量、重量后，书面通知交易市场向卖方支付货款。</w:t>
            </w:r>
          </w:p>
        </w:tc>
      </w:tr>
      <w:tr w14:paraId="1712EA29">
        <w:tblPrEx>
          <w:tblCellMar>
            <w:top w:w="0" w:type="dxa"/>
            <w:left w:w="108" w:type="dxa"/>
            <w:bottom w:w="0" w:type="dxa"/>
            <w:right w:w="108" w:type="dxa"/>
          </w:tblCellMar>
        </w:tblPrEx>
        <w:trPr>
          <w:trHeight w:val="776"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D13">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首付款比例</w:t>
            </w:r>
          </w:p>
        </w:tc>
        <w:tc>
          <w:tcPr>
            <w:tcW w:w="52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7548F">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全额货款的90%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CAF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以合同约定为准</w:t>
            </w:r>
          </w:p>
        </w:tc>
      </w:tr>
      <w:tr w14:paraId="4A70A00F">
        <w:tblPrEx>
          <w:tblCellMar>
            <w:top w:w="0" w:type="dxa"/>
            <w:left w:w="108" w:type="dxa"/>
            <w:bottom w:w="0" w:type="dxa"/>
            <w:right w:w="108" w:type="dxa"/>
          </w:tblCellMar>
        </w:tblPrEx>
        <w:trPr>
          <w:trHeight w:val="600"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354">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质量重量确认</w:t>
            </w:r>
          </w:p>
        </w:tc>
        <w:tc>
          <w:tcPr>
            <w:tcW w:w="65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03A090">
            <w:pPr>
              <w:widowControl/>
              <w:ind w:firstLine="480" w:firstLineChars="200"/>
              <w:textAlignment w:val="center"/>
            </w:pPr>
            <w:r>
              <w:rPr>
                <w:rFonts w:hint="eastAsia" w:ascii="仿宋" w:hAnsi="仿宋" w:eastAsia="仿宋" w:cs="仿宋"/>
                <w:color w:val="000000"/>
                <w:kern w:val="0"/>
                <w:sz w:val="24"/>
                <w:szCs w:val="24"/>
                <w:lang w:bidi="ar"/>
              </w:rPr>
              <w:t>仓单过户（货权变更）至买方之日起10日内（含），买方确认质量重量，超过10日未确认，视为无异议。</w:t>
            </w:r>
          </w:p>
        </w:tc>
      </w:tr>
      <w:tr w14:paraId="2E5E1832">
        <w:tblPrEx>
          <w:tblCellMar>
            <w:top w:w="0" w:type="dxa"/>
            <w:left w:w="108" w:type="dxa"/>
            <w:bottom w:w="0" w:type="dxa"/>
            <w:right w:w="108" w:type="dxa"/>
          </w:tblCellMar>
        </w:tblPrEx>
        <w:trPr>
          <w:trHeight w:val="695" w:hRule="atLeast"/>
        </w:trPr>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26CC">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发票及尾款</w:t>
            </w:r>
          </w:p>
        </w:tc>
        <w:tc>
          <w:tcPr>
            <w:tcW w:w="65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71668">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无特殊约定，买方对质量重量无异议后，卖方在3个工作日内向买方开出增值税专用发票，买方通知交易市场支付剩余货款。</w:t>
            </w:r>
          </w:p>
        </w:tc>
      </w:tr>
    </w:tbl>
    <w:p w14:paraId="1D7CE264">
      <w:pPr>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第二十三条  </w:t>
      </w:r>
      <w:r>
        <w:rPr>
          <w:rFonts w:hint="eastAsia" w:ascii="仿宋" w:hAnsi="仿宋" w:eastAsia="仿宋" w:cs="Times New Roman"/>
          <w:sz w:val="32"/>
          <w:szCs w:val="30"/>
        </w:rPr>
        <w:t>商品棉交易交割棉花参与交易市场仓单质押业务，或者交易市场仓单质押业务棉花参与商品棉交易交割时，按《全国棉花交易市场仓单质押管理办法》有关规定执行。</w:t>
      </w:r>
    </w:p>
    <w:p w14:paraId="4888F9B5">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第二十四条</w:t>
      </w:r>
      <w:r>
        <w:rPr>
          <w:rFonts w:hint="eastAsia" w:ascii="仿宋" w:hAnsi="仿宋" w:eastAsia="仿宋" w:cs="Times New Roman"/>
          <w:sz w:val="32"/>
          <w:szCs w:val="30"/>
        </w:rPr>
        <w:t xml:space="preserve">  交易市场可根据交易商的委托，代为签订合同、流转货款及变更货权；同时，交易市场可接受采用银行票据方式支付货款。相关责任与义务均由委托方承担，交易市场接受委托办理相关业务不承担因其他方原因造成的违约责任。</w:t>
      </w:r>
    </w:p>
    <w:p w14:paraId="2FB0FF96">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第二十五条  </w:t>
      </w:r>
      <w:r>
        <w:rPr>
          <w:rFonts w:hint="eastAsia" w:ascii="仿宋" w:hAnsi="仿宋" w:eastAsia="仿宋" w:cs="Times New Roman"/>
          <w:sz w:val="32"/>
          <w:szCs w:val="30"/>
        </w:rPr>
        <w:t>参与交易的商品棉包括国产棉和已通关进口棉。</w:t>
      </w:r>
    </w:p>
    <w:p w14:paraId="7E91B13B">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原则上，商品棉应存放在指定交割（监管）仓库并生成仓单，且已按中国纤维质量监测中心发布的《棉花质量公证检验实施暂行办法》（以下简称“《棉花公证检验办法》”）规定程序实施了入库公证检验。</w:t>
      </w:r>
    </w:p>
    <w:p w14:paraId="1B4E2A31">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经过海关检验检疫部门（以下简称“CIQ”）检验的已通关进口棉，按CIQ出具的质量检验证书和重量检验证书确认质量重量。</w:t>
      </w:r>
    </w:p>
    <w:p w14:paraId="02E36E0B">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未经过以上检验方式检验，或经过检验但检验结果已不再具备相关效力的，参与商品棉交易需另行约定。</w:t>
      </w:r>
    </w:p>
    <w:p w14:paraId="0A749957">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第二十六条</w:t>
      </w:r>
      <w:r>
        <w:rPr>
          <w:rFonts w:hint="eastAsia" w:ascii="黑体" w:hAnsi="黑体" w:eastAsia="黑体" w:cs="Times New Roman"/>
          <w:sz w:val="36"/>
          <w:szCs w:val="32"/>
        </w:rPr>
        <w:t xml:space="preserve">  </w:t>
      </w:r>
      <w:r>
        <w:rPr>
          <w:rFonts w:hint="eastAsia" w:ascii="仿宋" w:hAnsi="仿宋" w:eastAsia="仿宋" w:cs="Times New Roman"/>
          <w:sz w:val="32"/>
        </w:rPr>
        <w:t>使用</w:t>
      </w:r>
      <w:r>
        <w:rPr>
          <w:rFonts w:hint="eastAsia" w:ascii="仿宋" w:hAnsi="仿宋" w:eastAsia="仿宋" w:cs="Times New Roman"/>
          <w:sz w:val="32"/>
          <w:szCs w:val="30"/>
        </w:rPr>
        <w:t>仓单参与商品棉交割时，按《全国棉花交易市场指定交割（监管）仓库管理办法》相关规定办</w:t>
      </w:r>
      <w:r>
        <w:rPr>
          <w:rFonts w:hint="eastAsia" w:ascii="仿宋" w:hAnsi="仿宋" w:eastAsia="仿宋" w:cs="Times New Roman"/>
          <w:sz w:val="32"/>
        </w:rPr>
        <w:t>理入库、申报、生成仓单、入库公证检验及仓单过户等流程</w:t>
      </w:r>
      <w:r>
        <w:rPr>
          <w:rFonts w:hint="eastAsia" w:ascii="仿宋" w:hAnsi="仿宋" w:eastAsia="仿宋" w:cs="Times New Roman"/>
          <w:sz w:val="32"/>
          <w:szCs w:val="30"/>
        </w:rPr>
        <w:t>。</w:t>
      </w:r>
    </w:p>
    <w:p w14:paraId="5C693DF7">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未注册仓单的商品棉参与交割业务时，由卖方负责协助买方办理出库手续，或向买方变更货权并经买方确认，相关事宜由双方协商确定，交易市场不承担由此产生的一切责任。</w:t>
      </w:r>
    </w:p>
    <w:p w14:paraId="1BCEE20E">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第二十七条  </w:t>
      </w:r>
      <w:r>
        <w:rPr>
          <w:rFonts w:hint="eastAsia" w:ascii="仿宋" w:hAnsi="仿宋" w:eastAsia="仿宋" w:cs="Times New Roman"/>
          <w:sz w:val="32"/>
        </w:rPr>
        <w:t>已公证检验的商品棉在指定交割（监管）仓库保管期间出现炸包、散包现象时，指定交割（监管）仓库应及时书面通知</w:t>
      </w:r>
      <w:r>
        <w:rPr>
          <w:rFonts w:hint="eastAsia" w:ascii="仿宋" w:hAnsi="仿宋" w:eastAsia="仿宋" w:cs="Times New Roman"/>
          <w:sz w:val="32"/>
          <w:szCs w:val="30"/>
        </w:rPr>
        <w:t>货权人</w:t>
      </w:r>
      <w:r>
        <w:rPr>
          <w:rFonts w:hint="eastAsia" w:ascii="仿宋" w:hAnsi="仿宋" w:eastAsia="仿宋" w:cs="Times New Roman"/>
          <w:sz w:val="32"/>
        </w:rPr>
        <w:t>，同时抄送交易市场备案。对炸包、散包情况严重，难以按原数量、质量复包的棉花，指定交割（监管）仓库应通过e棉网-仓库端对该批次棉花进行及时标注，并书面告知交易市场。</w:t>
      </w:r>
      <w:r>
        <w:rPr>
          <w:rFonts w:hint="eastAsia" w:ascii="仿宋" w:hAnsi="仿宋" w:eastAsia="仿宋" w:cs="Times New Roman"/>
          <w:sz w:val="32"/>
          <w:szCs w:val="30"/>
        </w:rPr>
        <w:t>货权人通过竞卖交易、协商交易、网上超市或基差交易等方式进行商品棉销售时，商品备注中应清晰说明实际情况</w:t>
      </w:r>
      <w:r>
        <w:rPr>
          <w:rFonts w:hint="eastAsia" w:ascii="仿宋" w:hAnsi="仿宋" w:eastAsia="仿宋" w:cs="Times New Roman"/>
          <w:sz w:val="32"/>
        </w:rPr>
        <w:t>。</w:t>
      </w:r>
    </w:p>
    <w:p w14:paraId="57E70598">
      <w:pPr>
        <w:snapToGrid w:val="0"/>
        <w:spacing w:before="156" w:beforeLines="50" w:line="560" w:lineRule="atLeast"/>
        <w:ind w:firstLine="640" w:firstLineChars="200"/>
        <w:contextualSpacing/>
        <w:rPr>
          <w:rFonts w:ascii="仿宋" w:hAnsi="仿宋" w:eastAsia="仿宋" w:cs="Times New Roman"/>
          <w:sz w:val="32"/>
        </w:rPr>
      </w:pPr>
      <w:r>
        <w:rPr>
          <w:rFonts w:hint="eastAsia" w:ascii="黑体" w:hAnsi="黑体" w:eastAsia="黑体" w:cs="Times New Roman"/>
          <w:sz w:val="32"/>
          <w:szCs w:val="30"/>
        </w:rPr>
        <w:t xml:space="preserve">第二十八条  </w:t>
      </w:r>
      <w:r>
        <w:rPr>
          <w:rFonts w:hint="eastAsia" w:ascii="仿宋" w:hAnsi="仿宋" w:eastAsia="仿宋" w:cs="Times New Roman"/>
          <w:sz w:val="32"/>
        </w:rPr>
        <w:t>交易市场根据交易商的需要，适时向中国纤维质量监测中心申报已入库棉花的公证检验。承检机构按中国纤维质量监测中心发布的</w:t>
      </w:r>
      <w:r>
        <w:rPr>
          <w:rFonts w:hint="eastAsia" w:ascii="仿宋" w:hAnsi="仿宋" w:eastAsia="仿宋" w:cs="Times New Roman"/>
          <w:sz w:val="32"/>
          <w:szCs w:val="30"/>
        </w:rPr>
        <w:t>最新版本的</w:t>
      </w:r>
      <w:r>
        <w:rPr>
          <w:rFonts w:hint="eastAsia" w:ascii="仿宋" w:hAnsi="仿宋" w:eastAsia="仿宋" w:cs="Times New Roman"/>
          <w:sz w:val="32"/>
        </w:rPr>
        <w:t>《棉花质量公证检验实施暂行办法》实施公证检验。</w:t>
      </w:r>
    </w:p>
    <w:p w14:paraId="6F3CD489">
      <w:pPr>
        <w:snapToGrid w:val="0"/>
        <w:spacing w:before="156" w:beforeLines="50" w:line="560" w:lineRule="atLeast"/>
        <w:ind w:firstLine="640" w:firstLineChars="200"/>
        <w:contextualSpacing/>
        <w:rPr>
          <w:rFonts w:ascii="仿宋" w:hAnsi="仿宋" w:eastAsia="仿宋" w:cs="Times New Roman"/>
          <w:sz w:val="32"/>
        </w:rPr>
      </w:pPr>
      <w:r>
        <w:rPr>
          <w:rFonts w:hint="eastAsia" w:ascii="仿宋" w:hAnsi="仿宋" w:eastAsia="仿宋" w:cs="Times New Roman"/>
          <w:sz w:val="32"/>
        </w:rPr>
        <w:t>对入库公证检验的商品棉，其质量、重量以中国纤维质量监测中心出具的《公证检验证书》为准。对</w:t>
      </w:r>
      <w:r>
        <w:rPr>
          <w:rFonts w:hint="eastAsia" w:ascii="仿宋" w:hAnsi="仿宋" w:eastAsia="仿宋" w:cs="Times New Roman"/>
          <w:sz w:val="32"/>
          <w:szCs w:val="30"/>
        </w:rPr>
        <w:t>已通关进口棉，以海关检验检疫部门出具的质量和重量检验结果为准。</w:t>
      </w:r>
    </w:p>
    <w:p w14:paraId="4C397976">
      <w:pPr>
        <w:snapToGrid w:val="0"/>
        <w:spacing w:before="156" w:beforeLines="50" w:line="560" w:lineRule="atLeast"/>
        <w:ind w:firstLine="600"/>
        <w:contextualSpacing/>
        <w:rPr>
          <w:rFonts w:ascii="仿宋" w:hAnsi="仿宋" w:eastAsia="仿宋" w:cs="Times New Roman"/>
          <w:strike/>
          <w:sz w:val="32"/>
        </w:rPr>
      </w:pPr>
      <w:r>
        <w:rPr>
          <w:rFonts w:hint="eastAsia" w:ascii="仿宋" w:hAnsi="仿宋" w:eastAsia="仿宋" w:cs="Times New Roman"/>
          <w:sz w:val="32"/>
        </w:rPr>
        <w:t>经交易市场同意，交易商可以采用预约入库+公证检验方式进行入库公证检验，具体按《全国棉花交易市场指定交割（监管）仓库管理办法》有关规定执行。</w:t>
      </w:r>
    </w:p>
    <w:p w14:paraId="1428D967">
      <w:pPr>
        <w:snapToGrid w:val="0"/>
        <w:spacing w:before="156" w:beforeLines="50" w:line="560" w:lineRule="atLeast"/>
        <w:ind w:firstLine="600"/>
        <w:contextualSpacing/>
        <w:rPr>
          <w:rFonts w:ascii="仿宋" w:hAnsi="仿宋" w:eastAsia="仿宋" w:cs="Times New Roman"/>
          <w:sz w:val="32"/>
        </w:rPr>
      </w:pPr>
      <w:r>
        <w:rPr>
          <w:rFonts w:hint="eastAsia" w:ascii="仿宋" w:hAnsi="仿宋" w:eastAsia="仿宋" w:cs="Times New Roman"/>
          <w:sz w:val="32"/>
        </w:rPr>
        <w:t>对纳入专业仓储监管的新疆棉花，按照中国纤维质量监测中心发布的《棉花质量公证检验实施暂行办法》，实施公证检验。</w:t>
      </w:r>
    </w:p>
    <w:p w14:paraId="44E055EC">
      <w:pPr>
        <w:snapToGrid w:val="0"/>
        <w:spacing w:before="156" w:beforeLines="50" w:line="560" w:lineRule="atLeast"/>
        <w:ind w:firstLine="640" w:firstLineChars="200"/>
        <w:contextualSpacing/>
        <w:rPr>
          <w:rFonts w:ascii="仿宋" w:hAnsi="仿宋" w:eastAsia="仿宋" w:cs="Times New Roman"/>
          <w:strike/>
          <w:sz w:val="32"/>
        </w:rPr>
      </w:pPr>
      <w:r>
        <w:rPr>
          <w:rFonts w:hint="eastAsia" w:ascii="黑体" w:hAnsi="黑体" w:eastAsia="黑体" w:cs="Times New Roman"/>
          <w:sz w:val="32"/>
          <w:szCs w:val="30"/>
        </w:rPr>
        <w:t xml:space="preserve">第二十九条  </w:t>
      </w:r>
      <w:r>
        <w:rPr>
          <w:rFonts w:hint="eastAsia" w:ascii="仿宋" w:hAnsi="仿宋" w:eastAsia="仿宋" w:cs="Times New Roman"/>
          <w:sz w:val="32"/>
        </w:rPr>
        <w:t>指定交割（监管）仓库负责对公证检验时的抽样棉包进行随开包、随复包和整理，费用包含在配合公检搬倒费中。如抽样棉包发生炸包、散包，指定交割（监管）仓库应在确保数量、质量与原件一致且没有被污染的情况下进行复包。如因指定交割（监管）仓库没有及时对公证检验抽样棉包进行复包和整理，交易商提出异议并确认造成损失或影响出库装载的，指定交割（监管）仓库须承担相应责任。</w:t>
      </w:r>
    </w:p>
    <w:p w14:paraId="6F41D892">
      <w:pPr>
        <w:snapToGrid w:val="0"/>
        <w:spacing w:before="156" w:beforeLines="50" w:line="560" w:lineRule="atLeast"/>
        <w:ind w:firstLine="570"/>
        <w:contextualSpacing/>
        <w:rPr>
          <w:rFonts w:ascii="仿宋" w:hAnsi="仿宋" w:eastAsia="仿宋" w:cs="Times New Roman"/>
          <w:strike/>
          <w:sz w:val="32"/>
          <w:szCs w:val="30"/>
        </w:rPr>
      </w:pPr>
      <w:r>
        <w:rPr>
          <w:rFonts w:hint="eastAsia" w:ascii="黑体" w:hAnsi="黑体" w:eastAsia="黑体" w:cs="Times New Roman"/>
          <w:sz w:val="32"/>
          <w:szCs w:val="30"/>
        </w:rPr>
        <w:t xml:space="preserve">第三十条  </w:t>
      </w:r>
      <w:r>
        <w:rPr>
          <w:rFonts w:hint="eastAsia" w:ascii="仿宋" w:hAnsi="仿宋" w:eastAsia="仿宋" w:cs="Times New Roman"/>
          <w:sz w:val="32"/>
          <w:szCs w:val="30"/>
        </w:rPr>
        <w:t>竞买交易时，卖方</w:t>
      </w:r>
      <w:r>
        <w:rPr>
          <w:rFonts w:hint="eastAsia" w:ascii="仿宋" w:hAnsi="仿宋" w:eastAsia="仿宋" w:cs="Times New Roman"/>
          <w:sz w:val="32"/>
        </w:rPr>
        <w:t>根据合同约定</w:t>
      </w:r>
      <w:r>
        <w:rPr>
          <w:rFonts w:hint="eastAsia" w:ascii="仿宋" w:hAnsi="仿宋" w:eastAsia="仿宋" w:cs="Times New Roman"/>
          <w:sz w:val="32"/>
          <w:szCs w:val="30"/>
        </w:rPr>
        <w:t>向交易市场出具所提交仓单的公证检验资料。检验资料包括：《监管棉批次重量结果表》、每个棉包的《中国纤维质量监测中心棉花公证检验证书》、《棉包组批信息汇总表》、过磅码单正本等。</w:t>
      </w:r>
    </w:p>
    <w:p w14:paraId="2934632A">
      <w:pPr>
        <w:snapToGrid w:val="0"/>
        <w:spacing w:before="156" w:beforeLines="50" w:line="560" w:lineRule="atLeast"/>
        <w:ind w:firstLine="570"/>
        <w:contextualSpacing/>
        <w:rPr>
          <w:rFonts w:ascii="仿宋" w:hAnsi="仿宋" w:eastAsia="仿宋" w:cs="Times New Roman"/>
          <w:sz w:val="32"/>
        </w:rPr>
      </w:pPr>
      <w:r>
        <w:rPr>
          <w:rFonts w:hint="eastAsia" w:ascii="仿宋" w:hAnsi="仿宋" w:eastAsia="仿宋" w:cs="Times New Roman"/>
          <w:sz w:val="32"/>
          <w:szCs w:val="30"/>
        </w:rPr>
        <w:t>卖方实际交货的商品棉的质量、重量不符合买方事先公布的标准，买方可拒绝接受。</w:t>
      </w:r>
    </w:p>
    <w:p w14:paraId="0F1E3258">
      <w:pPr>
        <w:widowControl/>
        <w:snapToGrid w:val="0"/>
        <w:spacing w:before="156" w:beforeLines="50" w:line="560" w:lineRule="atLeast"/>
        <w:ind w:firstLine="588"/>
        <w:contextualSpacing/>
        <w:rPr>
          <w:rFonts w:ascii="仿宋" w:hAnsi="仿宋" w:eastAsia="仿宋" w:cs="Times New Roman"/>
          <w:kern w:val="0"/>
          <w:sz w:val="32"/>
          <w:szCs w:val="30"/>
        </w:rPr>
      </w:pPr>
      <w:r>
        <w:rPr>
          <w:rFonts w:hint="eastAsia" w:ascii="黑体" w:hAnsi="黑体" w:eastAsia="黑体" w:cs="Times New Roman"/>
          <w:kern w:val="0"/>
          <w:sz w:val="32"/>
          <w:szCs w:val="30"/>
        </w:rPr>
        <w:t>第三十一条</w:t>
      </w:r>
      <w:r>
        <w:rPr>
          <w:rFonts w:hint="eastAsia" w:ascii="仿宋" w:hAnsi="仿宋" w:eastAsia="仿宋" w:cs="Times New Roman"/>
          <w:kern w:val="0"/>
          <w:sz w:val="28"/>
          <w:szCs w:val="30"/>
        </w:rPr>
        <w:t xml:space="preserve"> </w:t>
      </w:r>
      <w:r>
        <w:rPr>
          <w:rFonts w:ascii="仿宋" w:hAnsi="仿宋" w:eastAsia="仿宋" w:cs="Times New Roman"/>
          <w:kern w:val="0"/>
          <w:szCs w:val="30"/>
        </w:rPr>
        <w:t xml:space="preserve"> </w:t>
      </w:r>
      <w:r>
        <w:rPr>
          <w:rFonts w:hint="eastAsia" w:ascii="仿宋" w:hAnsi="仿宋" w:eastAsia="仿宋" w:cs="Times New Roman"/>
          <w:kern w:val="0"/>
          <w:sz w:val="32"/>
          <w:szCs w:val="30"/>
        </w:rPr>
        <w:t>交易商提交的信息资料及相关票据是其真实意愿表达，应对信息资料及相关票据的合法性、真实性和可靠性负责，并承担全部经济和法律责任。</w:t>
      </w:r>
    </w:p>
    <w:p w14:paraId="6B8E5F80">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第三十二条  </w:t>
      </w:r>
      <w:r>
        <w:rPr>
          <w:rFonts w:hint="eastAsia" w:ascii="仿宋" w:hAnsi="仿宋" w:eastAsia="仿宋" w:cs="Times New Roman"/>
          <w:sz w:val="32"/>
          <w:szCs w:val="30"/>
        </w:rPr>
        <w:t>买方办理商品棉交割棉花提货时，按交易市场棉花仓单注销流程办理仓单注销手续。</w:t>
      </w:r>
    </w:p>
    <w:p w14:paraId="5ADD63AC">
      <w:pPr>
        <w:snapToGrid w:val="0"/>
        <w:spacing w:before="156" w:beforeLines="50" w:line="560" w:lineRule="atLeast"/>
        <w:ind w:firstLine="570"/>
        <w:contextualSpacing/>
        <w:rPr>
          <w:rFonts w:ascii="仿宋" w:hAnsi="仿宋" w:eastAsia="仿宋" w:cs="Times New Roman"/>
          <w:sz w:val="32"/>
          <w:szCs w:val="30"/>
        </w:rPr>
      </w:pPr>
      <w:r>
        <w:rPr>
          <w:rFonts w:hint="eastAsia" w:ascii="仿宋" w:hAnsi="仿宋" w:eastAsia="仿宋" w:cs="Times New Roman"/>
          <w:sz w:val="32"/>
          <w:szCs w:val="30"/>
        </w:rPr>
        <w:t>如买方暂不提货，可将仓单继续</w:t>
      </w:r>
      <w:r>
        <w:rPr>
          <w:rFonts w:ascii="仿宋" w:hAnsi="仿宋" w:eastAsia="仿宋" w:cs="Times New Roman"/>
          <w:sz w:val="32"/>
          <w:szCs w:val="30"/>
        </w:rPr>
        <w:t>用于</w:t>
      </w:r>
      <w:r>
        <w:rPr>
          <w:rFonts w:hint="eastAsia" w:ascii="仿宋" w:hAnsi="仿宋" w:eastAsia="仿宋" w:cs="Times New Roman"/>
          <w:sz w:val="32"/>
          <w:szCs w:val="30"/>
        </w:rPr>
        <w:t>办理商品棉交易交割、仓单抵免交易保证金、仓单质押等业务。</w:t>
      </w:r>
    </w:p>
    <w:p w14:paraId="69D67707">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第三十三条  </w:t>
      </w:r>
      <w:r>
        <w:rPr>
          <w:rFonts w:hint="eastAsia" w:ascii="仿宋" w:hAnsi="仿宋" w:eastAsia="仿宋" w:cs="Times New Roman"/>
          <w:sz w:val="32"/>
          <w:szCs w:val="30"/>
        </w:rPr>
        <w:t>买方在收到交易市场出具的《仓单注销通知书》后，需及时到指定交割（监管）仓库提货。</w:t>
      </w:r>
    </w:p>
    <w:p w14:paraId="384860A0">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指定交割（监管）仓库及其他交易商不得因与买方存在历史债务纠纷，或其他交易商因交易商品棉存在争议等原因阻碍影响买方提货。</w:t>
      </w:r>
    </w:p>
    <w:p w14:paraId="78C63F54">
      <w:pPr>
        <w:snapToGrid w:val="0"/>
        <w:spacing w:before="156" w:beforeLines="50" w:line="560" w:lineRule="atLeast"/>
        <w:ind w:firstLine="640" w:firstLineChars="200"/>
        <w:contextualSpacing/>
        <w:rPr>
          <w:rFonts w:ascii="仿宋" w:hAnsi="仿宋" w:eastAsia="仿宋" w:cs="Times New Roman"/>
          <w:sz w:val="32"/>
        </w:rPr>
      </w:pPr>
      <w:r>
        <w:rPr>
          <w:rFonts w:hint="eastAsia" w:ascii="黑体" w:hAnsi="黑体" w:eastAsia="黑体" w:cs="Times New Roman"/>
          <w:sz w:val="32"/>
          <w:szCs w:val="30"/>
        </w:rPr>
        <w:t xml:space="preserve">第三十四条  </w:t>
      </w:r>
      <w:r>
        <w:rPr>
          <w:rFonts w:hint="eastAsia" w:ascii="仿宋" w:hAnsi="仿宋" w:eastAsia="仿宋" w:cs="Times New Roman"/>
          <w:sz w:val="32"/>
        </w:rPr>
        <w:t>应买方要求，指定交割（监管）仓库应向买方提供代办运输、申报车皮计划、搬倒、装运等方面的必要协助，不得无故拒绝、拖延交货，不得强行要求买方使用指定的运输工具。</w:t>
      </w:r>
    </w:p>
    <w:p w14:paraId="1BA23ADA">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第三十五条  </w:t>
      </w:r>
      <w:r>
        <w:rPr>
          <w:rFonts w:hint="eastAsia" w:ascii="仿宋" w:hAnsi="仿宋" w:eastAsia="仿宋" w:cs="Times New Roman"/>
          <w:sz w:val="32"/>
        </w:rPr>
        <w:t>买方提货时，如发现棉垛外观出现炸包、散包等，应及时通知交易市场协调处理。</w:t>
      </w:r>
    </w:p>
    <w:p w14:paraId="6A7E21C4">
      <w:pPr>
        <w:snapToGrid w:val="0"/>
        <w:spacing w:before="156" w:beforeLines="50" w:line="560" w:lineRule="atLeast"/>
        <w:ind w:firstLine="600"/>
        <w:contextualSpacing/>
        <w:rPr>
          <w:rFonts w:ascii="仿宋" w:hAnsi="仿宋" w:eastAsia="仿宋" w:cs="Times New Roman"/>
          <w:sz w:val="32"/>
        </w:rPr>
      </w:pPr>
    </w:p>
    <w:p w14:paraId="4B905648">
      <w:pPr>
        <w:spacing w:before="156" w:beforeLines="50" w:line="560" w:lineRule="atLeast"/>
        <w:ind w:firstLine="573"/>
        <w:contextualSpacing/>
        <w:jc w:val="center"/>
        <w:rPr>
          <w:rFonts w:ascii="黑体" w:hAnsi="黑体" w:eastAsia="黑体" w:cs="Times New Roman"/>
          <w:sz w:val="32"/>
          <w:szCs w:val="30"/>
        </w:rPr>
      </w:pPr>
      <w:r>
        <w:rPr>
          <w:rFonts w:hint="eastAsia" w:ascii="黑体" w:hAnsi="黑体" w:eastAsia="黑体" w:cs="Times New Roman"/>
          <w:sz w:val="32"/>
          <w:szCs w:val="30"/>
        </w:rPr>
        <w:t>第四章  费用</w:t>
      </w:r>
    </w:p>
    <w:p w14:paraId="15F19F88">
      <w:pPr>
        <w:tabs>
          <w:tab w:val="left" w:pos="2552"/>
        </w:tabs>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第三十六条</w:t>
      </w:r>
      <w:r>
        <w:rPr>
          <w:rFonts w:hint="eastAsia" w:ascii="仿宋" w:hAnsi="仿宋" w:eastAsia="仿宋" w:cs="Times New Roman"/>
          <w:sz w:val="32"/>
          <w:szCs w:val="30"/>
        </w:rPr>
        <w:t xml:space="preserve"> </w:t>
      </w:r>
      <w:r>
        <w:rPr>
          <w:rFonts w:ascii="仿宋" w:hAnsi="仿宋" w:eastAsia="仿宋" w:cs="Times New Roman"/>
          <w:sz w:val="32"/>
          <w:szCs w:val="30"/>
        </w:rPr>
        <w:t xml:space="preserve"> </w:t>
      </w:r>
      <w:r>
        <w:rPr>
          <w:rFonts w:hint="eastAsia" w:ascii="仿宋" w:hAnsi="仿宋" w:eastAsia="仿宋" w:cs="Times New Roman"/>
          <w:sz w:val="32"/>
          <w:szCs w:val="30"/>
        </w:rPr>
        <w:t>参与竞卖交易、竞买交易、协商交易、网上超市和基差交易等交易业务时，交易市场按照对外公布的收费标准分别向买卖双方收取交易交割手续费。</w:t>
      </w:r>
    </w:p>
    <w:p w14:paraId="2C2FF2A4">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参与交易市场交易交割业务的商品</w:t>
      </w:r>
      <w:r>
        <w:rPr>
          <w:rFonts w:ascii="仿宋" w:hAnsi="仿宋" w:eastAsia="仿宋" w:cs="Times New Roman"/>
          <w:sz w:val="32"/>
          <w:szCs w:val="30"/>
        </w:rPr>
        <w:t>棉</w:t>
      </w:r>
      <w:r>
        <w:rPr>
          <w:rFonts w:hint="eastAsia" w:ascii="仿宋" w:hAnsi="仿宋" w:eastAsia="仿宋" w:cs="Times New Roman"/>
          <w:sz w:val="32"/>
          <w:szCs w:val="30"/>
        </w:rPr>
        <w:t>，买方如在成为货权人后2个自然日内办理仓单注销或仓单过户业务，交易市场免收买方监管服务费。</w:t>
      </w:r>
    </w:p>
    <w:p w14:paraId="04A7DA52">
      <w:pPr>
        <w:widowControl/>
        <w:shd w:val="clear" w:color="auto" w:fill="FFFFFF"/>
        <w:snapToGrid w:val="0"/>
        <w:spacing w:before="156" w:beforeLines="50" w:after="100" w:afterAutospacing="1"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第三十七条  </w:t>
      </w:r>
      <w:r>
        <w:rPr>
          <w:rFonts w:hint="eastAsia" w:ascii="仿宋" w:hAnsi="仿宋" w:eastAsia="仿宋" w:cs="Times New Roman"/>
          <w:sz w:val="32"/>
          <w:szCs w:val="30"/>
        </w:rPr>
        <w:t>如果出现因一方违约而造成另一方不能履约的，交易市场只收取违约方相应的费用。</w:t>
      </w:r>
    </w:p>
    <w:p w14:paraId="0F2AB420">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第三十八条</w:t>
      </w:r>
      <w:r>
        <w:rPr>
          <w:rFonts w:ascii="黑体" w:hAnsi="黑体" w:eastAsia="黑体" w:cs="Times New Roman"/>
          <w:sz w:val="32"/>
          <w:szCs w:val="30"/>
        </w:rPr>
        <w:t xml:space="preserve">  </w:t>
      </w:r>
      <w:r>
        <w:rPr>
          <w:rFonts w:hint="eastAsia" w:ascii="仿宋" w:hAnsi="仿宋" w:eastAsia="仿宋" w:cs="Times New Roman"/>
          <w:sz w:val="32"/>
          <w:szCs w:val="30"/>
        </w:rPr>
        <w:t>交易市场向交易商开具交易交割手续费发票。</w:t>
      </w:r>
    </w:p>
    <w:p w14:paraId="3500DB1C">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第三十九条  </w:t>
      </w:r>
      <w:r>
        <w:rPr>
          <w:rFonts w:hint="eastAsia" w:ascii="仿宋" w:hAnsi="仿宋" w:eastAsia="仿宋" w:cs="Times New Roman"/>
          <w:sz w:val="32"/>
        </w:rPr>
        <w:t>交易市场统一审核批准和发布指定交割</w:t>
      </w:r>
      <w:r>
        <w:rPr>
          <w:rFonts w:hint="eastAsia" w:ascii="仿宋" w:hAnsi="仿宋" w:eastAsia="仿宋" w:cs="Times New Roman"/>
          <w:sz w:val="32"/>
          <w:szCs w:val="20"/>
        </w:rPr>
        <w:t>（监管）</w:t>
      </w:r>
      <w:r>
        <w:rPr>
          <w:rFonts w:hint="eastAsia" w:ascii="仿宋" w:hAnsi="仿宋" w:eastAsia="仿宋" w:cs="Times New Roman"/>
          <w:sz w:val="32"/>
        </w:rPr>
        <w:t>仓库收取的入库费、配合公检搬倒费、保管费、出库费等相关收费标准。新疆交割（监管）仓库按《自治区发展改革委关于印发新疆棉花专业监管仓库收费标准（试行）的通知》（新发改农价〔2014〕2077号）以及《自治区发展改革委关于新疆棉花专业监管仓库收费标准有关事宜的通知》（新发改农价〔2015〕1893号）的相关收费标准执行。除事先另有约定外，指定交割（监管）仓库不得额外收取任何费用。其中，入库费、配合公检搬倒费由卖方直接支付给指定交割</w:t>
      </w:r>
      <w:r>
        <w:rPr>
          <w:rFonts w:hint="eastAsia" w:ascii="仿宋" w:hAnsi="仿宋" w:eastAsia="仿宋" w:cs="Times New Roman"/>
          <w:sz w:val="32"/>
          <w:szCs w:val="20"/>
        </w:rPr>
        <w:t>（监管）</w:t>
      </w:r>
      <w:r>
        <w:rPr>
          <w:rFonts w:hint="eastAsia" w:ascii="仿宋" w:hAnsi="仿宋" w:eastAsia="仿宋" w:cs="Times New Roman"/>
          <w:sz w:val="32"/>
        </w:rPr>
        <w:t>仓库；出库费由买方直接支付给指定交割</w:t>
      </w:r>
      <w:r>
        <w:rPr>
          <w:rFonts w:hint="eastAsia" w:ascii="仿宋" w:hAnsi="仿宋" w:eastAsia="仿宋" w:cs="Times New Roman"/>
          <w:sz w:val="32"/>
          <w:szCs w:val="20"/>
        </w:rPr>
        <w:t>（监管）</w:t>
      </w:r>
      <w:r>
        <w:rPr>
          <w:rFonts w:hint="eastAsia" w:ascii="仿宋" w:hAnsi="仿宋" w:eastAsia="仿宋" w:cs="Times New Roman"/>
          <w:sz w:val="32"/>
        </w:rPr>
        <w:t>仓库；保管费、保险费由交易市场统收统付，并由交易市场分别支付给指定交割</w:t>
      </w:r>
      <w:r>
        <w:rPr>
          <w:rFonts w:hint="eastAsia" w:ascii="仿宋" w:hAnsi="仿宋" w:eastAsia="仿宋" w:cs="Times New Roman"/>
          <w:sz w:val="32"/>
          <w:szCs w:val="20"/>
        </w:rPr>
        <w:t>（监管）</w:t>
      </w:r>
      <w:r>
        <w:rPr>
          <w:rFonts w:hint="eastAsia" w:ascii="仿宋" w:hAnsi="仿宋" w:eastAsia="仿宋" w:cs="Times New Roman"/>
          <w:sz w:val="32"/>
        </w:rPr>
        <w:t>仓库和保险公司。</w:t>
      </w:r>
    </w:p>
    <w:p w14:paraId="7180FDC6">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 xml:space="preserve">第四十条  </w:t>
      </w:r>
      <w:r>
        <w:rPr>
          <w:rFonts w:hint="eastAsia" w:ascii="仿宋" w:hAnsi="仿宋" w:eastAsia="仿宋" w:cs="Times New Roman"/>
          <w:sz w:val="32"/>
          <w:szCs w:val="30"/>
        </w:rPr>
        <w:t>非指定交割（监管）仓库收取的入库费、保管费、出库费等相关收费标准由买卖双方与非指定交割（监管）仓库协商确定。</w:t>
      </w:r>
    </w:p>
    <w:p w14:paraId="37226818">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第四十一条  </w:t>
      </w:r>
      <w:r>
        <w:rPr>
          <w:rFonts w:hint="eastAsia" w:ascii="仿宋" w:hAnsi="仿宋" w:eastAsia="仿宋" w:cs="Times New Roman"/>
          <w:sz w:val="32"/>
          <w:szCs w:val="30"/>
        </w:rPr>
        <w:t>在非新疆指定交割（监管）仓库交割时，仓单过户前（含过户当日）的保管、保险费由卖方承担；仓单过户后（不含仓单过户当日）的保管、保险费用由买方承担。</w:t>
      </w:r>
    </w:p>
    <w:p w14:paraId="32E4FC21">
      <w:pPr>
        <w:snapToGrid w:val="0"/>
        <w:spacing w:before="156" w:beforeLines="50" w:line="560" w:lineRule="atLeast"/>
        <w:ind w:firstLine="681" w:firstLineChars="213"/>
        <w:contextualSpacing/>
        <w:rPr>
          <w:rFonts w:ascii="仿宋" w:hAnsi="仿宋" w:eastAsia="仿宋" w:cs="Times New Roman"/>
          <w:sz w:val="32"/>
          <w:szCs w:val="30"/>
        </w:rPr>
      </w:pPr>
      <w:r>
        <w:rPr>
          <w:rFonts w:hint="eastAsia" w:ascii="仿宋" w:hAnsi="仿宋" w:eastAsia="仿宋" w:cs="Times New Roman"/>
          <w:sz w:val="32"/>
          <w:szCs w:val="30"/>
        </w:rPr>
        <w:t>在新疆指定交割（监管）仓库交割时，由卖方承担仓单过户前（含过户当日）的包干费用，仓单过户后（不含过户当日）的费用由买方承担。</w:t>
      </w:r>
      <w:r>
        <w:rPr>
          <w:rFonts w:hint="eastAsia" w:ascii="仿宋" w:hAnsi="仿宋" w:eastAsia="仿宋" w:cs="Times New Roman"/>
          <w:kern w:val="0"/>
          <w:sz w:val="32"/>
          <w:szCs w:val="30"/>
        </w:rPr>
        <w:t>买卖双方有合同约定的，根据合同约定承担相关费用。</w:t>
      </w:r>
    </w:p>
    <w:p w14:paraId="6631D099">
      <w:pPr>
        <w:widowControl/>
        <w:snapToGrid w:val="0"/>
        <w:spacing w:before="156" w:beforeLines="50" w:line="560" w:lineRule="atLeast"/>
        <w:ind w:firstLine="640" w:firstLineChars="200"/>
        <w:contextualSpacing/>
        <w:rPr>
          <w:rFonts w:ascii="仿宋" w:hAnsi="仿宋" w:eastAsia="仿宋" w:cs="Times New Roman"/>
          <w:kern w:val="0"/>
          <w:sz w:val="32"/>
          <w:szCs w:val="30"/>
        </w:rPr>
      </w:pPr>
      <w:r>
        <w:rPr>
          <w:rFonts w:hint="eastAsia" w:ascii="仿宋" w:hAnsi="仿宋" w:eastAsia="仿宋" w:cs="Times New Roman"/>
          <w:kern w:val="0"/>
          <w:sz w:val="32"/>
          <w:szCs w:val="30"/>
        </w:rPr>
        <w:t xml:space="preserve"> </w:t>
      </w:r>
    </w:p>
    <w:p w14:paraId="192BABD7">
      <w:pPr>
        <w:widowControl/>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第五章  质量重量纠纷处理</w:t>
      </w:r>
    </w:p>
    <w:p w14:paraId="1AA520AF">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第四十二条  </w:t>
      </w:r>
      <w:r>
        <w:rPr>
          <w:rFonts w:hint="eastAsia" w:ascii="仿宋" w:hAnsi="仿宋" w:eastAsia="仿宋" w:cs="Times New Roman"/>
          <w:sz w:val="32"/>
        </w:rPr>
        <w:t>参与商品棉交易交割的棉花出现以下情况，按国家有关规定处理，并依法追究相关方责任。</w:t>
      </w:r>
    </w:p>
    <w:p w14:paraId="173AE592">
      <w:pPr>
        <w:snapToGrid w:val="0"/>
        <w:spacing w:before="156" w:beforeLines="50" w:line="560" w:lineRule="atLeast"/>
        <w:ind w:firstLine="600"/>
        <w:contextualSpacing/>
        <w:rPr>
          <w:rFonts w:ascii="仿宋" w:hAnsi="仿宋" w:eastAsia="仿宋" w:cs="Times New Roman"/>
          <w:sz w:val="32"/>
        </w:rPr>
      </w:pPr>
      <w:r>
        <w:rPr>
          <w:rFonts w:hint="eastAsia" w:ascii="仿宋" w:hAnsi="仿宋" w:eastAsia="仿宋" w:cs="Times New Roman"/>
          <w:sz w:val="32"/>
        </w:rPr>
        <w:t>（一）掺杂使假；</w:t>
      </w:r>
    </w:p>
    <w:p w14:paraId="444B299E">
      <w:pPr>
        <w:snapToGrid w:val="0"/>
        <w:spacing w:before="156" w:beforeLines="50" w:line="560" w:lineRule="atLeast"/>
        <w:ind w:firstLine="600"/>
        <w:contextualSpacing/>
        <w:rPr>
          <w:rFonts w:ascii="仿宋" w:hAnsi="仿宋" w:eastAsia="仿宋" w:cs="Times New Roman"/>
          <w:sz w:val="32"/>
        </w:rPr>
      </w:pPr>
      <w:r>
        <w:rPr>
          <w:rFonts w:hint="eastAsia" w:ascii="仿宋" w:hAnsi="仿宋" w:eastAsia="仿宋" w:cs="Times New Roman"/>
          <w:sz w:val="32"/>
        </w:rPr>
        <w:t>（二）棉花包装内部有污染、霉变；</w:t>
      </w:r>
    </w:p>
    <w:p w14:paraId="03912E8E">
      <w:pPr>
        <w:snapToGrid w:val="0"/>
        <w:spacing w:before="156" w:beforeLines="50" w:line="560" w:lineRule="atLeast"/>
        <w:ind w:firstLine="600"/>
        <w:contextualSpacing/>
        <w:rPr>
          <w:rFonts w:ascii="仿宋" w:hAnsi="仿宋" w:eastAsia="仿宋" w:cs="Times New Roman"/>
          <w:sz w:val="32"/>
        </w:rPr>
      </w:pPr>
      <w:r>
        <w:rPr>
          <w:rFonts w:hint="eastAsia" w:ascii="仿宋" w:hAnsi="仿宋" w:eastAsia="仿宋" w:cs="Times New Roman"/>
          <w:sz w:val="32"/>
        </w:rPr>
        <w:t>（三）小轧花机、土打包机加工的棉花；</w:t>
      </w:r>
    </w:p>
    <w:p w14:paraId="7E8CDD5E">
      <w:pPr>
        <w:snapToGrid w:val="0"/>
        <w:spacing w:before="156" w:beforeLines="50" w:line="560" w:lineRule="atLeast"/>
        <w:ind w:firstLine="600"/>
        <w:contextualSpacing/>
        <w:rPr>
          <w:rFonts w:ascii="仿宋" w:hAnsi="仿宋" w:eastAsia="仿宋" w:cs="Times New Roman"/>
          <w:sz w:val="32"/>
        </w:rPr>
      </w:pPr>
      <w:r>
        <w:rPr>
          <w:rFonts w:hint="eastAsia" w:ascii="仿宋" w:hAnsi="仿宋" w:eastAsia="仿宋" w:cs="Times New Roman"/>
          <w:sz w:val="32"/>
        </w:rPr>
        <w:t>（四）法律、法规规定的其他情形。</w:t>
      </w:r>
    </w:p>
    <w:p w14:paraId="3BAB16CC">
      <w:pPr>
        <w:snapToGrid w:val="0"/>
        <w:spacing w:before="156" w:beforeLines="50" w:line="560" w:lineRule="atLeast"/>
        <w:ind w:firstLine="600"/>
        <w:contextualSpacing/>
        <w:rPr>
          <w:rFonts w:ascii="仿宋" w:hAnsi="仿宋" w:eastAsia="仿宋" w:cs="Times New Roman"/>
          <w:sz w:val="32"/>
        </w:rPr>
      </w:pPr>
      <w:r>
        <w:rPr>
          <w:rFonts w:hint="eastAsia" w:ascii="仿宋" w:hAnsi="仿宋" w:eastAsia="仿宋" w:cs="Times New Roman"/>
          <w:sz w:val="32"/>
        </w:rPr>
        <w:t>除以上情况外，卖方不予退货，如买方坚持退货，视为买方违约，按相关规定的标准扣除买方履约保证金。</w:t>
      </w:r>
    </w:p>
    <w:p w14:paraId="0A31AFF6">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第四十三条  </w:t>
      </w:r>
      <w:r>
        <w:rPr>
          <w:rFonts w:hint="eastAsia" w:ascii="仿宋" w:hAnsi="仿宋" w:eastAsia="仿宋" w:cs="Times New Roman"/>
          <w:sz w:val="32"/>
        </w:rPr>
        <w:t>棉花入库时以及在指定交割（监管）仓库存放期间出现棉包露白、炸包、散包现象，属于指定交割（监管）仓库没有通知货权人或通知不及时，造成交割棉因棉包露白、炸包、散包引起纠纷的，由指定交割（监管）仓库负责赔偿相应损失。</w:t>
      </w:r>
    </w:p>
    <w:p w14:paraId="25AD55DD">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第四十四条  </w:t>
      </w:r>
      <w:r>
        <w:rPr>
          <w:rFonts w:hint="eastAsia" w:ascii="仿宋" w:hAnsi="仿宋" w:eastAsia="仿宋" w:cs="Times New Roman"/>
          <w:sz w:val="32"/>
        </w:rPr>
        <w:t>指定交割（监管）仓库已及时书面通知有关商品棉货权人，但该货权人没有及时做复包处理的，须与提货方协商并达成一致处理意见。否则，炸包、散包部分棉花按违约处理，有关商品棉货权人应退回违约棉花的货款并承担相应的违约责任。</w:t>
      </w:r>
    </w:p>
    <w:p w14:paraId="45852EF3">
      <w:pPr>
        <w:snapToGrid w:val="0"/>
        <w:spacing w:before="156" w:beforeLines="50" w:line="560" w:lineRule="atLeast"/>
        <w:ind w:firstLine="556"/>
        <w:contextualSpacing/>
        <w:rPr>
          <w:rFonts w:ascii="仿宋" w:hAnsi="仿宋" w:eastAsia="仿宋" w:cs="Times New Roman"/>
          <w:sz w:val="32"/>
        </w:rPr>
      </w:pPr>
      <w:r>
        <w:rPr>
          <w:rFonts w:hint="eastAsia" w:ascii="仿宋" w:hAnsi="仿宋" w:eastAsia="仿宋" w:cs="Times New Roman"/>
          <w:sz w:val="32"/>
        </w:rPr>
        <w:t>棉垛内部出现炸包、散包而只能在提货时发现的，其炸包、散包件数占总件数2％以内时，卖方应在买方提货时予以复包，经复包后不影响装车的，可以用于交割；如炸包、散包件数占总件数超过2％时，须与提货方协商并达成一致处理意见。否则，炸包、散包部分棉花按违约处理，有关卖方应退回违约棉花的货款并承担相应的违约责任。</w:t>
      </w:r>
    </w:p>
    <w:p w14:paraId="3F54A798">
      <w:pPr>
        <w:snapToGrid w:val="0"/>
        <w:spacing w:before="156" w:beforeLines="50" w:line="560" w:lineRule="atLeast"/>
        <w:ind w:firstLine="560"/>
        <w:contextualSpacing/>
        <w:rPr>
          <w:rFonts w:ascii="仿宋" w:hAnsi="仿宋" w:eastAsia="仿宋" w:cs="Times New Roman"/>
          <w:sz w:val="32"/>
        </w:rPr>
      </w:pPr>
      <w:r>
        <w:rPr>
          <w:rFonts w:hint="eastAsia" w:ascii="仿宋" w:hAnsi="仿宋" w:eastAsia="仿宋" w:cs="Times New Roman"/>
          <w:sz w:val="32"/>
        </w:rPr>
        <w:t>指定交割（监管）仓库必须及时做好所有</w:t>
      </w:r>
      <w:r>
        <w:rPr>
          <w:rFonts w:ascii="仿宋" w:hAnsi="仿宋" w:eastAsia="仿宋" w:cs="Times New Roman"/>
          <w:sz w:val="32"/>
        </w:rPr>
        <w:t>炸包</w:t>
      </w:r>
      <w:r>
        <w:rPr>
          <w:rFonts w:hint="eastAsia" w:ascii="仿宋" w:hAnsi="仿宋" w:eastAsia="仿宋" w:cs="Times New Roman"/>
          <w:sz w:val="32"/>
        </w:rPr>
        <w:t>、</w:t>
      </w:r>
      <w:r>
        <w:rPr>
          <w:rFonts w:ascii="仿宋" w:hAnsi="仿宋" w:eastAsia="仿宋" w:cs="Times New Roman"/>
          <w:sz w:val="32"/>
        </w:rPr>
        <w:t>散包棉花的</w:t>
      </w:r>
      <w:r>
        <w:rPr>
          <w:rFonts w:hint="eastAsia" w:ascii="仿宋" w:hAnsi="仿宋" w:eastAsia="仿宋" w:cs="Times New Roman"/>
          <w:sz w:val="32"/>
        </w:rPr>
        <w:t>复包书面记录，做好复包棉花标记，并按原批归位。</w:t>
      </w:r>
    </w:p>
    <w:p w14:paraId="360263ED">
      <w:pPr>
        <w:spacing w:before="156" w:beforeLines="50" w:line="560" w:lineRule="atLeast"/>
        <w:ind w:firstLine="640" w:firstLineChars="200"/>
        <w:contextualSpacing/>
        <w:rPr>
          <w:rFonts w:ascii="仿宋" w:hAnsi="仿宋" w:eastAsia="仿宋" w:cs="Times New Roman"/>
          <w:sz w:val="32"/>
        </w:rPr>
      </w:pPr>
      <w:r>
        <w:rPr>
          <w:rFonts w:hint="eastAsia" w:ascii="黑体" w:hAnsi="黑体" w:eastAsia="黑体" w:cs="Times New Roman"/>
          <w:sz w:val="32"/>
          <w:szCs w:val="30"/>
        </w:rPr>
        <w:t>第四十五条</w:t>
      </w:r>
      <w:r>
        <w:rPr>
          <w:rFonts w:hint="eastAsia" w:ascii="仿宋" w:hAnsi="仿宋" w:eastAsia="仿宋" w:cs="Times New Roman"/>
          <w:sz w:val="32"/>
          <w:szCs w:val="30"/>
        </w:rPr>
        <w:t xml:space="preserve">  </w:t>
      </w:r>
      <w:r>
        <w:rPr>
          <w:rFonts w:hint="eastAsia" w:ascii="仿宋" w:hAnsi="仿宋" w:eastAsia="仿宋" w:cs="Times New Roman"/>
          <w:sz w:val="32"/>
        </w:rPr>
        <w:t>交易市场允许买卖双方自行协商解决棉花质量、重量纠纷，协商不成可向交易市场申请调解。未能达成一致，由买方或卖方按照《棉花质量公证检验实施暂行办法》规定，在规定时间内委托交易市场向中国纤维质量检测中心提出复检申请。中国纤维质量监测中心受理后，按规定程序组织复检，交易市场依据复检结果重新计算货款。复检结果与原验结果在允差范围内的，复检费用由申请方承担。</w:t>
      </w:r>
    </w:p>
    <w:p w14:paraId="539B07D7">
      <w:pPr>
        <w:spacing w:before="156" w:beforeLines="50" w:line="560" w:lineRule="atLeast"/>
        <w:ind w:firstLine="640" w:firstLineChars="200"/>
        <w:contextualSpacing/>
        <w:rPr>
          <w:rFonts w:ascii="仿宋" w:hAnsi="仿宋" w:eastAsia="仿宋" w:cs="Times New Roman"/>
          <w:sz w:val="32"/>
          <w:szCs w:val="30"/>
        </w:rPr>
      </w:pPr>
      <w:r>
        <w:rPr>
          <w:rFonts w:hint="eastAsia" w:ascii="仿宋" w:hAnsi="仿宋" w:eastAsia="仿宋" w:cs="Times New Roman"/>
          <w:sz w:val="32"/>
          <w:szCs w:val="30"/>
        </w:rPr>
        <w:t>复检程序和结果反馈按中国纤维质量监测中心有关规定执行。</w:t>
      </w:r>
    </w:p>
    <w:p w14:paraId="4F73E784">
      <w:pPr>
        <w:snapToGrid w:val="0"/>
        <w:spacing w:before="156" w:beforeLines="50" w:line="560" w:lineRule="atLeast"/>
        <w:ind w:firstLine="555"/>
        <w:contextualSpacing/>
        <w:rPr>
          <w:rFonts w:ascii="仿宋" w:hAnsi="仿宋" w:eastAsia="仿宋" w:cs="Times New Roman"/>
          <w:sz w:val="32"/>
        </w:rPr>
      </w:pPr>
      <w:r>
        <w:rPr>
          <w:rFonts w:hint="eastAsia" w:ascii="仿宋" w:hAnsi="仿宋" w:eastAsia="仿宋" w:cs="Times New Roman"/>
          <w:sz w:val="32"/>
        </w:rPr>
        <w:t>对复检结论仍有异议的，可以依法向有管辖权的人民法院提起诉讼。</w:t>
      </w:r>
    </w:p>
    <w:p w14:paraId="16ED9010">
      <w:pPr>
        <w:snapToGrid w:val="0"/>
        <w:spacing w:before="156" w:beforeLines="50" w:line="560" w:lineRule="atLeast"/>
        <w:ind w:firstLine="556"/>
        <w:contextualSpacing/>
        <w:rPr>
          <w:rFonts w:ascii="仿宋" w:hAnsi="仿宋" w:eastAsia="仿宋" w:cs="Times New Roman"/>
          <w:sz w:val="32"/>
        </w:rPr>
      </w:pPr>
      <w:r>
        <w:rPr>
          <w:rFonts w:hint="eastAsia" w:ascii="黑体" w:hAnsi="黑体" w:eastAsia="黑体" w:cs="Times New Roman"/>
          <w:sz w:val="32"/>
          <w:szCs w:val="30"/>
        </w:rPr>
        <w:t xml:space="preserve">第四十六条  </w:t>
      </w:r>
      <w:r>
        <w:rPr>
          <w:rFonts w:hint="eastAsia" w:ascii="仿宋" w:hAnsi="仿宋" w:eastAsia="仿宋" w:cs="Times New Roman"/>
          <w:sz w:val="32"/>
        </w:rPr>
        <w:t>复检后，长度级、马克隆值级、轧工质量、断裂比强度、长度整齐度与原验结果有差异且在允差范围外的，按仓单过户时间对应的中国棉花协会公布的质量差价表重新计算货款。</w:t>
      </w:r>
    </w:p>
    <w:p w14:paraId="303D1D64">
      <w:pPr>
        <w:tabs>
          <w:tab w:val="left" w:pos="2552"/>
        </w:tabs>
        <w:snapToGrid w:val="0"/>
        <w:spacing w:before="156" w:beforeLines="50" w:line="560" w:lineRule="atLeast"/>
        <w:ind w:firstLine="570"/>
        <w:contextualSpacing/>
        <w:rPr>
          <w:rFonts w:ascii="仿宋" w:hAnsi="仿宋" w:eastAsia="仿宋" w:cs="Times New Roman"/>
          <w:sz w:val="32"/>
        </w:rPr>
      </w:pPr>
      <w:r>
        <w:rPr>
          <w:rFonts w:hint="eastAsia" w:ascii="黑体" w:hAnsi="黑体" w:eastAsia="黑体" w:cs="Times New Roman"/>
          <w:sz w:val="32"/>
          <w:szCs w:val="30"/>
        </w:rPr>
        <w:t xml:space="preserve">第四十七条  </w:t>
      </w:r>
      <w:r>
        <w:rPr>
          <w:rFonts w:hint="eastAsia" w:ascii="仿宋" w:hAnsi="仿宋" w:eastAsia="仿宋" w:cs="Times New Roman"/>
          <w:sz w:val="32"/>
        </w:rPr>
        <w:t>复检后无主体马克隆值级时，顺降至能够生成马克隆值级并据此重新计算货款（顺序为A档→B档→C档）。</w:t>
      </w:r>
    </w:p>
    <w:p w14:paraId="631E27BC">
      <w:pPr>
        <w:tabs>
          <w:tab w:val="left" w:pos="2552"/>
        </w:tabs>
        <w:snapToGrid w:val="0"/>
        <w:spacing w:before="156" w:beforeLines="50" w:line="560" w:lineRule="atLeast"/>
        <w:ind w:firstLine="570"/>
        <w:contextualSpacing/>
        <w:rPr>
          <w:rFonts w:ascii="仿宋" w:hAnsi="仿宋" w:eastAsia="仿宋" w:cs="Times New Roman"/>
          <w:sz w:val="32"/>
          <w:szCs w:val="32"/>
        </w:rPr>
      </w:pPr>
      <w:r>
        <w:rPr>
          <w:rFonts w:hint="eastAsia" w:ascii="黑体" w:hAnsi="黑体" w:eastAsia="黑体" w:cs="Times New Roman"/>
          <w:sz w:val="32"/>
          <w:szCs w:val="30"/>
        </w:rPr>
        <w:t>第四十八条</w:t>
      </w:r>
      <w:r>
        <w:rPr>
          <w:rFonts w:hint="eastAsia" w:ascii="仿宋" w:hAnsi="仿宋" w:eastAsia="仿宋" w:cs="Times New Roman"/>
          <w:sz w:val="32"/>
        </w:rPr>
        <w:t xml:space="preserve"> </w:t>
      </w:r>
      <w:r>
        <w:rPr>
          <w:rFonts w:ascii="仿宋" w:hAnsi="仿宋" w:eastAsia="仿宋" w:cs="Times New Roman"/>
          <w:sz w:val="32"/>
        </w:rPr>
        <w:t xml:space="preserve"> </w:t>
      </w:r>
      <w:r>
        <w:rPr>
          <w:rFonts w:hint="eastAsia" w:ascii="仿宋" w:hAnsi="仿宋" w:eastAsia="仿宋" w:cs="Times New Roman"/>
          <w:sz w:val="32"/>
          <w:szCs w:val="32"/>
        </w:rPr>
        <w:t>根据《棉花质量公证检验实施暂行办法》的有关规定，《公证检验证书》中异性纤维含量按照中国纤维质量监测中心出具的比例指标进行标注。复验后，发现异性纤维的样品占扦样总量的比例与原验结果不符的，按以下标准扣减：</w:t>
      </w:r>
    </w:p>
    <w:tbl>
      <w:tblPr>
        <w:tblStyle w:val="6"/>
        <w:tblW w:w="0" w:type="auto"/>
        <w:jc w:val="center"/>
        <w:tblLayout w:type="fixed"/>
        <w:tblCellMar>
          <w:top w:w="0" w:type="dxa"/>
          <w:left w:w="108" w:type="dxa"/>
          <w:bottom w:w="0" w:type="dxa"/>
          <w:right w:w="108" w:type="dxa"/>
        </w:tblCellMar>
      </w:tblPr>
      <w:tblGrid>
        <w:gridCol w:w="2998"/>
        <w:gridCol w:w="1695"/>
        <w:gridCol w:w="1990"/>
      </w:tblGrid>
      <w:tr w14:paraId="721D1724">
        <w:tblPrEx>
          <w:tblCellMar>
            <w:top w:w="0" w:type="dxa"/>
            <w:left w:w="108" w:type="dxa"/>
            <w:bottom w:w="0" w:type="dxa"/>
            <w:right w:w="108" w:type="dxa"/>
          </w:tblCellMar>
        </w:tblPrEx>
        <w:trPr>
          <w:trHeight w:val="397" w:hRule="atLeast"/>
          <w:jc w:val="center"/>
        </w:trPr>
        <w:tc>
          <w:tcPr>
            <w:tcW w:w="2998" w:type="dxa"/>
            <w:tcBorders>
              <w:top w:val="single" w:color="auto" w:sz="4" w:space="0"/>
              <w:left w:val="single" w:color="auto" w:sz="4" w:space="0"/>
              <w:bottom w:val="single" w:color="auto" w:sz="4" w:space="0"/>
              <w:right w:val="single" w:color="auto" w:sz="4" w:space="0"/>
            </w:tcBorders>
            <w:vAlign w:val="center"/>
          </w:tcPr>
          <w:p w14:paraId="13EE6E9C">
            <w:pPr>
              <w:widowControl/>
              <w:jc w:val="center"/>
              <w:rPr>
                <w:rFonts w:ascii="仿宋" w:hAnsi="仿宋" w:eastAsia="仿宋" w:cs="Tahoma"/>
                <w:b/>
                <w:bCs/>
                <w:kern w:val="0"/>
                <w:sz w:val="24"/>
                <w:szCs w:val="32"/>
              </w:rPr>
            </w:pPr>
            <w:r>
              <w:rPr>
                <w:rFonts w:hint="eastAsia" w:ascii="仿宋" w:hAnsi="仿宋" w:eastAsia="仿宋" w:cs="Tahoma"/>
                <w:b/>
                <w:bCs/>
                <w:kern w:val="0"/>
                <w:sz w:val="24"/>
                <w:szCs w:val="32"/>
              </w:rPr>
              <w:t>原检结果</w:t>
            </w:r>
          </w:p>
        </w:tc>
        <w:tc>
          <w:tcPr>
            <w:tcW w:w="1695" w:type="dxa"/>
            <w:tcBorders>
              <w:top w:val="single" w:color="auto" w:sz="4" w:space="0"/>
              <w:left w:val="nil"/>
              <w:bottom w:val="single" w:color="auto" w:sz="4" w:space="0"/>
              <w:right w:val="single" w:color="auto" w:sz="4" w:space="0"/>
            </w:tcBorders>
            <w:vAlign w:val="center"/>
          </w:tcPr>
          <w:p w14:paraId="33C0DB42">
            <w:pPr>
              <w:widowControl/>
              <w:jc w:val="center"/>
              <w:rPr>
                <w:rFonts w:ascii="仿宋" w:hAnsi="仿宋" w:eastAsia="仿宋" w:cs="Tahoma"/>
                <w:b/>
                <w:bCs/>
                <w:kern w:val="0"/>
                <w:sz w:val="24"/>
                <w:szCs w:val="32"/>
              </w:rPr>
            </w:pPr>
            <w:r>
              <w:rPr>
                <w:rFonts w:hint="eastAsia" w:ascii="仿宋" w:hAnsi="仿宋" w:eastAsia="仿宋" w:cs="Tahoma"/>
                <w:b/>
                <w:bCs/>
                <w:kern w:val="0"/>
                <w:sz w:val="24"/>
                <w:szCs w:val="32"/>
              </w:rPr>
              <w:t>复检结果</w:t>
            </w:r>
          </w:p>
        </w:tc>
        <w:tc>
          <w:tcPr>
            <w:tcW w:w="1990" w:type="dxa"/>
            <w:tcBorders>
              <w:top w:val="single" w:color="auto" w:sz="4" w:space="0"/>
              <w:left w:val="nil"/>
              <w:bottom w:val="single" w:color="auto" w:sz="4" w:space="0"/>
              <w:right w:val="single" w:color="auto" w:sz="4" w:space="0"/>
            </w:tcBorders>
            <w:vAlign w:val="center"/>
          </w:tcPr>
          <w:p w14:paraId="2D5541E3">
            <w:pPr>
              <w:widowControl/>
              <w:jc w:val="center"/>
              <w:rPr>
                <w:rFonts w:ascii="仿宋" w:hAnsi="仿宋" w:eastAsia="仿宋" w:cs="Tahoma"/>
                <w:b/>
                <w:bCs/>
                <w:kern w:val="0"/>
                <w:sz w:val="24"/>
                <w:szCs w:val="32"/>
              </w:rPr>
            </w:pPr>
            <w:r>
              <w:rPr>
                <w:rFonts w:hint="eastAsia" w:ascii="仿宋" w:hAnsi="仿宋" w:eastAsia="仿宋" w:cs="Tahoma"/>
                <w:b/>
                <w:bCs/>
                <w:kern w:val="0"/>
                <w:sz w:val="24"/>
                <w:szCs w:val="32"/>
              </w:rPr>
              <w:t>扣减标准</w:t>
            </w:r>
          </w:p>
        </w:tc>
      </w:tr>
      <w:tr w14:paraId="33D4ABB3">
        <w:tblPrEx>
          <w:tblCellMar>
            <w:top w:w="0" w:type="dxa"/>
            <w:left w:w="108" w:type="dxa"/>
            <w:bottom w:w="0" w:type="dxa"/>
            <w:right w:w="108" w:type="dxa"/>
          </w:tblCellMar>
        </w:tblPrEx>
        <w:trPr>
          <w:trHeight w:val="397" w:hRule="atLeast"/>
          <w:jc w:val="center"/>
        </w:trPr>
        <w:tc>
          <w:tcPr>
            <w:tcW w:w="2998" w:type="dxa"/>
            <w:vMerge w:val="restart"/>
            <w:tcBorders>
              <w:top w:val="nil"/>
              <w:left w:val="single" w:color="auto" w:sz="4" w:space="0"/>
              <w:bottom w:val="single" w:color="000000" w:sz="4" w:space="0"/>
              <w:right w:val="single" w:color="auto" w:sz="4" w:space="0"/>
            </w:tcBorders>
            <w:vAlign w:val="center"/>
          </w:tcPr>
          <w:p w14:paraId="60D06BF4">
            <w:pPr>
              <w:widowControl/>
              <w:jc w:val="center"/>
              <w:rPr>
                <w:rFonts w:ascii="仿宋" w:hAnsi="仿宋" w:eastAsia="仿宋" w:cs="Tahoma"/>
                <w:kern w:val="0"/>
                <w:sz w:val="24"/>
                <w:szCs w:val="32"/>
              </w:rPr>
            </w:pPr>
            <w:r>
              <w:rPr>
                <w:rFonts w:hint="eastAsia" w:ascii="仿宋" w:hAnsi="仿宋" w:eastAsia="仿宋" w:cs="Tahoma"/>
                <w:kern w:val="0"/>
                <w:sz w:val="24"/>
                <w:szCs w:val="32"/>
              </w:rPr>
              <w:t>＜6%</w:t>
            </w:r>
          </w:p>
        </w:tc>
        <w:tc>
          <w:tcPr>
            <w:tcW w:w="1695" w:type="dxa"/>
            <w:tcBorders>
              <w:top w:val="nil"/>
              <w:left w:val="nil"/>
              <w:bottom w:val="single" w:color="auto" w:sz="4" w:space="0"/>
              <w:right w:val="single" w:color="auto" w:sz="4" w:space="0"/>
            </w:tcBorders>
            <w:vAlign w:val="center"/>
          </w:tcPr>
          <w:p w14:paraId="2A423BD8">
            <w:pPr>
              <w:widowControl/>
              <w:jc w:val="center"/>
              <w:rPr>
                <w:rFonts w:ascii="仿宋" w:hAnsi="仿宋" w:eastAsia="仿宋" w:cs="Tahoma"/>
                <w:kern w:val="0"/>
                <w:sz w:val="24"/>
                <w:szCs w:val="32"/>
              </w:rPr>
            </w:pPr>
            <w:r>
              <w:rPr>
                <w:rFonts w:hint="eastAsia" w:ascii="仿宋" w:hAnsi="仿宋" w:eastAsia="仿宋" w:cs="Tahoma"/>
                <w:kern w:val="0"/>
                <w:sz w:val="24"/>
                <w:szCs w:val="32"/>
              </w:rPr>
              <w:t>≤12%</w:t>
            </w:r>
          </w:p>
        </w:tc>
        <w:tc>
          <w:tcPr>
            <w:tcW w:w="1990" w:type="dxa"/>
            <w:tcBorders>
              <w:top w:val="nil"/>
              <w:left w:val="nil"/>
              <w:bottom w:val="single" w:color="auto" w:sz="4" w:space="0"/>
              <w:right w:val="single" w:color="auto" w:sz="4" w:space="0"/>
            </w:tcBorders>
            <w:vAlign w:val="center"/>
          </w:tcPr>
          <w:p w14:paraId="57182242">
            <w:pPr>
              <w:widowControl/>
              <w:jc w:val="center"/>
              <w:rPr>
                <w:rFonts w:ascii="仿宋" w:hAnsi="仿宋" w:eastAsia="仿宋" w:cs="Tahoma"/>
                <w:kern w:val="0"/>
                <w:sz w:val="24"/>
                <w:szCs w:val="32"/>
              </w:rPr>
            </w:pPr>
            <w:r>
              <w:rPr>
                <w:rFonts w:hint="eastAsia" w:ascii="仿宋" w:hAnsi="仿宋" w:eastAsia="仿宋" w:cs="Tahoma"/>
                <w:kern w:val="0"/>
                <w:sz w:val="24"/>
                <w:szCs w:val="32"/>
              </w:rPr>
              <w:t>300元/吨</w:t>
            </w:r>
          </w:p>
        </w:tc>
      </w:tr>
      <w:tr w14:paraId="0D772856">
        <w:tblPrEx>
          <w:tblCellMar>
            <w:top w:w="0" w:type="dxa"/>
            <w:left w:w="108" w:type="dxa"/>
            <w:bottom w:w="0" w:type="dxa"/>
            <w:right w:w="108" w:type="dxa"/>
          </w:tblCellMar>
        </w:tblPrEx>
        <w:trPr>
          <w:trHeight w:val="397" w:hRule="atLeast"/>
          <w:jc w:val="center"/>
        </w:trPr>
        <w:tc>
          <w:tcPr>
            <w:tcW w:w="2998" w:type="dxa"/>
            <w:vMerge w:val="continue"/>
            <w:tcBorders>
              <w:top w:val="nil"/>
              <w:left w:val="single" w:color="auto" w:sz="4" w:space="0"/>
              <w:bottom w:val="single" w:color="000000" w:sz="4" w:space="0"/>
              <w:right w:val="single" w:color="auto" w:sz="4" w:space="0"/>
            </w:tcBorders>
            <w:vAlign w:val="center"/>
          </w:tcPr>
          <w:p w14:paraId="1FEF8ED9">
            <w:pPr>
              <w:widowControl/>
              <w:jc w:val="left"/>
              <w:rPr>
                <w:rFonts w:ascii="仿宋" w:hAnsi="仿宋" w:eastAsia="仿宋" w:cs="Tahoma"/>
                <w:kern w:val="0"/>
                <w:sz w:val="24"/>
                <w:szCs w:val="32"/>
              </w:rPr>
            </w:pPr>
          </w:p>
        </w:tc>
        <w:tc>
          <w:tcPr>
            <w:tcW w:w="1695" w:type="dxa"/>
            <w:tcBorders>
              <w:top w:val="nil"/>
              <w:left w:val="nil"/>
              <w:bottom w:val="single" w:color="auto" w:sz="4" w:space="0"/>
              <w:right w:val="single" w:color="auto" w:sz="4" w:space="0"/>
            </w:tcBorders>
            <w:vAlign w:val="center"/>
          </w:tcPr>
          <w:p w14:paraId="0E2399E6">
            <w:pPr>
              <w:widowControl/>
              <w:jc w:val="center"/>
              <w:rPr>
                <w:rFonts w:ascii="仿宋" w:hAnsi="仿宋" w:eastAsia="仿宋" w:cs="Tahoma"/>
                <w:kern w:val="0"/>
                <w:sz w:val="24"/>
                <w:szCs w:val="32"/>
              </w:rPr>
            </w:pPr>
            <w:r>
              <w:rPr>
                <w:rFonts w:hint="eastAsia" w:ascii="仿宋" w:hAnsi="仿宋" w:eastAsia="仿宋" w:cs="Tahoma"/>
                <w:kern w:val="0"/>
                <w:sz w:val="24"/>
                <w:szCs w:val="32"/>
              </w:rPr>
              <w:t>＞12%</w:t>
            </w:r>
          </w:p>
        </w:tc>
        <w:tc>
          <w:tcPr>
            <w:tcW w:w="1990" w:type="dxa"/>
            <w:tcBorders>
              <w:top w:val="nil"/>
              <w:left w:val="nil"/>
              <w:bottom w:val="single" w:color="auto" w:sz="4" w:space="0"/>
              <w:right w:val="single" w:color="auto" w:sz="4" w:space="0"/>
            </w:tcBorders>
            <w:vAlign w:val="center"/>
          </w:tcPr>
          <w:p w14:paraId="205C628C">
            <w:pPr>
              <w:widowControl/>
              <w:jc w:val="center"/>
              <w:rPr>
                <w:rFonts w:ascii="仿宋" w:hAnsi="仿宋" w:eastAsia="仿宋" w:cs="Tahoma"/>
                <w:kern w:val="0"/>
                <w:sz w:val="24"/>
                <w:szCs w:val="32"/>
              </w:rPr>
            </w:pPr>
            <w:r>
              <w:rPr>
                <w:rFonts w:hint="eastAsia" w:ascii="仿宋" w:hAnsi="仿宋" w:eastAsia="仿宋" w:cs="Tahoma"/>
                <w:kern w:val="0"/>
                <w:sz w:val="24"/>
                <w:szCs w:val="32"/>
              </w:rPr>
              <w:t>450元/吨</w:t>
            </w:r>
          </w:p>
        </w:tc>
      </w:tr>
      <w:tr w14:paraId="59E7D33A">
        <w:tblPrEx>
          <w:tblCellMar>
            <w:top w:w="0" w:type="dxa"/>
            <w:left w:w="108" w:type="dxa"/>
            <w:bottom w:w="0" w:type="dxa"/>
            <w:right w:w="108" w:type="dxa"/>
          </w:tblCellMar>
        </w:tblPrEx>
        <w:trPr>
          <w:trHeight w:val="397" w:hRule="atLeast"/>
          <w:jc w:val="center"/>
        </w:trPr>
        <w:tc>
          <w:tcPr>
            <w:tcW w:w="2998" w:type="dxa"/>
            <w:tcBorders>
              <w:top w:val="nil"/>
              <w:left w:val="single" w:color="auto" w:sz="4" w:space="0"/>
              <w:bottom w:val="single" w:color="auto" w:sz="4" w:space="0"/>
              <w:right w:val="single" w:color="auto" w:sz="4" w:space="0"/>
            </w:tcBorders>
            <w:vAlign w:val="center"/>
          </w:tcPr>
          <w:p w14:paraId="118D7322">
            <w:pPr>
              <w:widowControl/>
              <w:jc w:val="center"/>
              <w:rPr>
                <w:rFonts w:ascii="仿宋" w:hAnsi="仿宋" w:eastAsia="仿宋" w:cs="Tahoma"/>
                <w:kern w:val="0"/>
                <w:sz w:val="24"/>
                <w:szCs w:val="32"/>
              </w:rPr>
            </w:pPr>
            <w:r>
              <w:rPr>
                <w:rFonts w:hint="eastAsia" w:ascii="仿宋" w:hAnsi="仿宋" w:eastAsia="仿宋" w:cs="Tahoma"/>
                <w:kern w:val="0"/>
                <w:sz w:val="24"/>
                <w:szCs w:val="32"/>
              </w:rPr>
              <w:t>6%≤原验结果≤12%</w:t>
            </w:r>
          </w:p>
        </w:tc>
        <w:tc>
          <w:tcPr>
            <w:tcW w:w="1695" w:type="dxa"/>
            <w:tcBorders>
              <w:top w:val="nil"/>
              <w:left w:val="nil"/>
              <w:bottom w:val="single" w:color="auto" w:sz="4" w:space="0"/>
              <w:right w:val="single" w:color="auto" w:sz="4" w:space="0"/>
            </w:tcBorders>
            <w:vAlign w:val="center"/>
          </w:tcPr>
          <w:p w14:paraId="112964BB">
            <w:pPr>
              <w:widowControl/>
              <w:jc w:val="center"/>
              <w:rPr>
                <w:rFonts w:ascii="仿宋" w:hAnsi="仿宋" w:eastAsia="仿宋" w:cs="Tahoma"/>
                <w:kern w:val="0"/>
                <w:sz w:val="24"/>
                <w:szCs w:val="32"/>
              </w:rPr>
            </w:pPr>
            <w:r>
              <w:rPr>
                <w:rFonts w:hint="eastAsia" w:ascii="仿宋" w:hAnsi="仿宋" w:eastAsia="仿宋" w:cs="Tahoma"/>
                <w:kern w:val="0"/>
                <w:sz w:val="24"/>
                <w:szCs w:val="32"/>
              </w:rPr>
              <w:t>＞12%</w:t>
            </w:r>
          </w:p>
        </w:tc>
        <w:tc>
          <w:tcPr>
            <w:tcW w:w="1990" w:type="dxa"/>
            <w:tcBorders>
              <w:top w:val="nil"/>
              <w:left w:val="nil"/>
              <w:bottom w:val="single" w:color="auto" w:sz="4" w:space="0"/>
              <w:right w:val="single" w:color="auto" w:sz="4" w:space="0"/>
            </w:tcBorders>
            <w:vAlign w:val="center"/>
          </w:tcPr>
          <w:p w14:paraId="305D3F10">
            <w:pPr>
              <w:widowControl/>
              <w:jc w:val="center"/>
              <w:rPr>
                <w:rFonts w:ascii="仿宋" w:hAnsi="仿宋" w:eastAsia="仿宋" w:cs="Tahoma"/>
                <w:kern w:val="0"/>
                <w:sz w:val="24"/>
                <w:szCs w:val="32"/>
              </w:rPr>
            </w:pPr>
            <w:r>
              <w:rPr>
                <w:rFonts w:hint="eastAsia" w:ascii="仿宋" w:hAnsi="仿宋" w:eastAsia="仿宋" w:cs="Tahoma"/>
                <w:kern w:val="0"/>
                <w:sz w:val="24"/>
                <w:szCs w:val="32"/>
              </w:rPr>
              <w:t>150元/吨</w:t>
            </w:r>
          </w:p>
        </w:tc>
      </w:tr>
    </w:tbl>
    <w:p w14:paraId="69DF9C99">
      <w:pPr>
        <w:tabs>
          <w:tab w:val="left" w:pos="2552"/>
        </w:tabs>
        <w:snapToGrid w:val="0"/>
        <w:spacing w:before="156" w:beforeLines="50" w:line="560" w:lineRule="atLeast"/>
        <w:ind w:firstLine="570"/>
        <w:contextualSpacing/>
        <w:rPr>
          <w:rFonts w:ascii="仿宋" w:hAnsi="仿宋" w:eastAsia="仿宋" w:cs="Times New Roman"/>
          <w:sz w:val="32"/>
          <w:szCs w:val="32"/>
        </w:rPr>
      </w:pPr>
      <w:r>
        <w:rPr>
          <w:rFonts w:hint="eastAsia" w:ascii="仿宋" w:hAnsi="仿宋" w:eastAsia="仿宋" w:cs="Times New Roman"/>
          <w:sz w:val="32"/>
          <w:szCs w:val="32"/>
        </w:rPr>
        <w:t>如果买方与最近一次申请并接受公证检验时的棉花所有权人在异性纤维抽样方法和抽样数量方面不能达成一致，由交易市场委托中国纤维质量监测中心进行异性纤维含量检验。</w:t>
      </w:r>
    </w:p>
    <w:p w14:paraId="5B114840">
      <w:pPr>
        <w:snapToGrid w:val="0"/>
        <w:spacing w:before="156" w:beforeLines="50" w:line="560" w:lineRule="atLeast"/>
        <w:ind w:firstLine="640" w:firstLineChars="200"/>
        <w:contextualSpacing/>
        <w:rPr>
          <w:rFonts w:ascii="仿宋" w:hAnsi="仿宋" w:eastAsia="仿宋" w:cs="Times New Roman"/>
          <w:sz w:val="32"/>
        </w:rPr>
      </w:pPr>
      <w:r>
        <w:rPr>
          <w:rFonts w:hint="eastAsia" w:ascii="黑体" w:hAnsi="黑体" w:eastAsia="黑体" w:cs="Times New Roman"/>
          <w:sz w:val="32"/>
          <w:szCs w:val="30"/>
        </w:rPr>
        <w:t xml:space="preserve">第四十九条  </w:t>
      </w:r>
      <w:r>
        <w:rPr>
          <w:rFonts w:hint="eastAsia" w:ascii="仿宋" w:hAnsi="仿宋" w:eastAsia="仿宋" w:cs="Times New Roman"/>
          <w:sz w:val="32"/>
        </w:rPr>
        <w:t>复检后，颜色级与原验结果不符的，如下降一个类型但未超过40%（不含）的，不再重新计算货款；下降一个类型且超过40%（含）的，按近月中国棉花协会公布的质量差价表重新计算货款。</w:t>
      </w:r>
    </w:p>
    <w:p w14:paraId="316FC997">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第五十条</w:t>
      </w:r>
      <w:r>
        <w:rPr>
          <w:rFonts w:hint="eastAsia" w:ascii="仿宋" w:hAnsi="仿宋" w:eastAsia="仿宋" w:cs="Times New Roman"/>
          <w:sz w:val="32"/>
        </w:rPr>
        <w:t xml:space="preserve">  除第四十二条情况发生外，原验结果符合交易市场交割要求的，买方不得退货。</w:t>
      </w:r>
    </w:p>
    <w:p w14:paraId="62BCD133">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第五十一条  </w:t>
      </w:r>
      <w:r>
        <w:rPr>
          <w:rFonts w:hint="eastAsia" w:ascii="仿宋" w:hAnsi="仿宋" w:eastAsia="仿宋" w:cs="Times New Roman"/>
          <w:sz w:val="32"/>
        </w:rPr>
        <w:t>公定重量复检结果与原验结果相差幅度超过</w:t>
      </w:r>
      <w:r>
        <w:rPr>
          <w:rFonts w:ascii="仿宋" w:hAnsi="仿宋" w:eastAsia="仿宋" w:cs="Times New Roman"/>
          <w:sz w:val="32"/>
        </w:rPr>
        <w:t>1%</w:t>
      </w:r>
      <w:r>
        <w:rPr>
          <w:rFonts w:hint="eastAsia" w:ascii="仿宋" w:hAnsi="仿宋" w:eastAsia="仿宋" w:cs="Times New Roman"/>
          <w:sz w:val="32"/>
        </w:rPr>
        <w:t>（不含），按重新计算的货款金额调整买卖双方货款差额。</w:t>
      </w:r>
    </w:p>
    <w:p w14:paraId="74F6A310">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第五十二条</w:t>
      </w:r>
      <w:r>
        <w:rPr>
          <w:rFonts w:hint="eastAsia" w:ascii="黑体" w:hAnsi="黑体" w:eastAsia="黑体" w:cs="Times New Roman"/>
          <w:sz w:val="15"/>
          <w:szCs w:val="30"/>
        </w:rPr>
        <w:t xml:space="preserve">    </w:t>
      </w:r>
      <w:r>
        <w:rPr>
          <w:rFonts w:hint="eastAsia" w:ascii="仿宋" w:hAnsi="仿宋" w:eastAsia="仿宋" w:cs="Times New Roman"/>
          <w:sz w:val="32"/>
        </w:rPr>
        <w:t>交易市场</w:t>
      </w:r>
      <w:r>
        <w:rPr>
          <w:rFonts w:hint="eastAsia" w:ascii="仿宋" w:hAnsi="仿宋" w:eastAsia="仿宋" w:cs="Times New Roman"/>
          <w:kern w:val="0"/>
          <w:sz w:val="32"/>
          <w:szCs w:val="16"/>
        </w:rPr>
        <w:t>有权从交易商存放在交易市场</w:t>
      </w:r>
      <w:r>
        <w:rPr>
          <w:rFonts w:ascii="仿宋" w:hAnsi="仿宋" w:eastAsia="仿宋" w:cs="Times New Roman"/>
          <w:kern w:val="0"/>
          <w:sz w:val="32"/>
          <w:szCs w:val="16"/>
        </w:rPr>
        <w:t>的各项资金</w:t>
      </w:r>
      <w:r>
        <w:rPr>
          <w:rFonts w:hint="eastAsia" w:ascii="仿宋" w:hAnsi="仿宋" w:eastAsia="仿宋" w:cs="Times New Roman"/>
          <w:kern w:val="0"/>
          <w:sz w:val="32"/>
          <w:szCs w:val="16"/>
        </w:rPr>
        <w:t>中扣划资金，用于</w:t>
      </w:r>
      <w:r>
        <w:rPr>
          <w:rFonts w:hint="eastAsia" w:ascii="仿宋" w:hAnsi="仿宋" w:eastAsia="仿宋" w:cs="Times New Roman"/>
          <w:sz w:val="32"/>
        </w:rPr>
        <w:t>调整货款差额和补偿金额。在已开具增值税专用发票的情况下，因复检导致的货款差额和补偿金额，不再开具增值税专用发票。如需另行开具增值税专用发票，由买卖双方自行协商。</w:t>
      </w:r>
    </w:p>
    <w:p w14:paraId="251E65ED">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第五十三条  </w:t>
      </w:r>
      <w:r>
        <w:rPr>
          <w:rFonts w:hint="eastAsia" w:ascii="仿宋" w:hAnsi="仿宋" w:eastAsia="仿宋" w:cs="Times New Roman"/>
          <w:sz w:val="32"/>
        </w:rPr>
        <w:t>买卖双方协商解决在非指定交割</w:t>
      </w:r>
      <w:r>
        <w:rPr>
          <w:rFonts w:hint="eastAsia" w:ascii="仿宋" w:hAnsi="仿宋" w:eastAsia="仿宋" w:cs="Times New Roman"/>
          <w:sz w:val="32"/>
          <w:szCs w:val="20"/>
        </w:rPr>
        <w:t>（监管）</w:t>
      </w:r>
      <w:r>
        <w:rPr>
          <w:rFonts w:hint="eastAsia" w:ascii="仿宋" w:hAnsi="仿宋" w:eastAsia="仿宋" w:cs="Times New Roman"/>
          <w:sz w:val="32"/>
        </w:rPr>
        <w:t>仓库交割的商品棉的质量重量纠纷，协商不成</w:t>
      </w:r>
      <w:r>
        <w:rPr>
          <w:rFonts w:hint="eastAsia" w:ascii="仿宋" w:hAnsi="仿宋" w:eastAsia="仿宋" w:cs="Times New Roman"/>
          <w:sz w:val="32"/>
          <w:szCs w:val="30"/>
        </w:rPr>
        <w:t>可以通过交易市场申报公检并按照</w:t>
      </w:r>
      <w:r>
        <w:rPr>
          <w:rFonts w:hint="eastAsia" w:ascii="仿宋" w:hAnsi="仿宋" w:eastAsia="仿宋" w:cs="Times New Roman"/>
          <w:sz w:val="32"/>
        </w:rPr>
        <w:t>《棉花质量公证检验实施暂行办法》</w:t>
      </w:r>
      <w:r>
        <w:rPr>
          <w:rFonts w:hint="eastAsia" w:ascii="仿宋" w:hAnsi="仿宋" w:eastAsia="仿宋" w:cs="Times New Roman"/>
          <w:sz w:val="32"/>
          <w:szCs w:val="30"/>
        </w:rPr>
        <w:t>执行</w:t>
      </w:r>
      <w:r>
        <w:rPr>
          <w:rFonts w:hint="eastAsia" w:ascii="仿宋" w:hAnsi="仿宋" w:eastAsia="仿宋" w:cs="Times New Roman"/>
          <w:sz w:val="36"/>
          <w:szCs w:val="32"/>
        </w:rPr>
        <w:t>；</w:t>
      </w:r>
      <w:r>
        <w:rPr>
          <w:rFonts w:hint="eastAsia" w:ascii="仿宋" w:hAnsi="仿宋" w:eastAsia="仿宋" w:cs="Times New Roman"/>
          <w:sz w:val="32"/>
        </w:rPr>
        <w:t>也可以依法向原告住所地有管辖权的人民法院提起诉讼。</w:t>
      </w:r>
    </w:p>
    <w:p w14:paraId="41C51E62">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rPr>
        <w:t>第</w:t>
      </w:r>
      <w:r>
        <w:rPr>
          <w:rFonts w:hint="eastAsia" w:ascii="黑体" w:hAnsi="黑体" w:eastAsia="黑体" w:cs="Times New Roman"/>
          <w:sz w:val="32"/>
          <w:szCs w:val="30"/>
        </w:rPr>
        <w:t>五十四</w:t>
      </w:r>
      <w:r>
        <w:rPr>
          <w:rFonts w:hint="eastAsia" w:ascii="黑体" w:hAnsi="黑体" w:eastAsia="黑体" w:cs="Times New Roman"/>
          <w:sz w:val="32"/>
        </w:rPr>
        <w:t xml:space="preserve">条  </w:t>
      </w:r>
      <w:r>
        <w:rPr>
          <w:rFonts w:hint="eastAsia" w:ascii="仿宋" w:hAnsi="仿宋" w:eastAsia="仿宋" w:cs="Times New Roman"/>
          <w:sz w:val="32"/>
        </w:rPr>
        <w:t>买方对已通关进口棉的质量重量有异议，参照中国棉花协会《棉花买卖合同（适用于非国产棉贸易）》的有关规定执行。</w:t>
      </w:r>
    </w:p>
    <w:p w14:paraId="6DB0D951">
      <w:pPr>
        <w:snapToGrid w:val="0"/>
        <w:spacing w:before="156" w:beforeLines="50" w:line="560" w:lineRule="atLeast"/>
        <w:ind w:firstLine="600"/>
        <w:contextualSpacing/>
        <w:rPr>
          <w:rFonts w:ascii="仿宋" w:hAnsi="仿宋" w:eastAsia="仿宋" w:cs="Times New Roman"/>
          <w:sz w:val="32"/>
        </w:rPr>
      </w:pPr>
    </w:p>
    <w:p w14:paraId="164B19E6">
      <w:pPr>
        <w:widowControl/>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第六章  违约责任与处置</w:t>
      </w:r>
    </w:p>
    <w:p w14:paraId="001C6A22">
      <w:pPr>
        <w:snapToGrid w:val="0"/>
        <w:spacing w:before="156" w:beforeLines="50" w:line="560" w:lineRule="atLeast"/>
        <w:ind w:firstLine="640" w:firstLineChars="200"/>
        <w:contextualSpacing/>
        <w:rPr>
          <w:rFonts w:ascii="仿宋" w:hAnsi="仿宋" w:eastAsia="仿宋" w:cs="Times New Roman"/>
          <w:sz w:val="32"/>
          <w:szCs w:val="20"/>
        </w:rPr>
      </w:pPr>
      <w:r>
        <w:rPr>
          <w:rFonts w:hint="eastAsia" w:ascii="黑体" w:hAnsi="黑体" w:eastAsia="黑体" w:cs="Times New Roman"/>
          <w:sz w:val="32"/>
          <w:szCs w:val="30"/>
        </w:rPr>
        <w:t xml:space="preserve">第五十五条  </w:t>
      </w:r>
      <w:r>
        <w:rPr>
          <w:rFonts w:hint="eastAsia" w:ascii="仿宋" w:hAnsi="仿宋" w:eastAsia="仿宋" w:cs="Times New Roman"/>
          <w:sz w:val="32"/>
          <w:szCs w:val="20"/>
        </w:rPr>
        <w:t>卖方未按照本办法规定要求提供商品及有关文件的，或未签订合同的，卖方应承担违约责任。</w:t>
      </w:r>
    </w:p>
    <w:p w14:paraId="087C24A3">
      <w:pPr>
        <w:snapToGrid w:val="0"/>
        <w:spacing w:before="156" w:beforeLines="50" w:line="560" w:lineRule="atLeast"/>
        <w:ind w:firstLine="640" w:firstLineChars="200"/>
        <w:contextualSpacing/>
        <w:rPr>
          <w:rFonts w:ascii="仿宋" w:hAnsi="仿宋" w:eastAsia="仿宋" w:cs="Times New Roman"/>
          <w:sz w:val="32"/>
          <w:szCs w:val="20"/>
        </w:rPr>
      </w:pPr>
      <w:r>
        <w:rPr>
          <w:rFonts w:hint="eastAsia" w:ascii="仿宋" w:hAnsi="仿宋" w:eastAsia="仿宋" w:cs="Times New Roman"/>
          <w:sz w:val="32"/>
          <w:szCs w:val="20"/>
        </w:rPr>
        <w:t>买方未按照本办法规定要求签订合同的，或交易市场未在规定时间收到买方货款的（时间以买方付款底联为准），买方应承担违约责任。</w:t>
      </w:r>
    </w:p>
    <w:p w14:paraId="7EB0B208">
      <w:pPr>
        <w:widowControl/>
        <w:autoSpaceDN w:val="0"/>
        <w:snapToGrid w:val="0"/>
        <w:spacing w:before="156" w:beforeLines="50" w:line="560" w:lineRule="atLeast"/>
        <w:ind w:firstLine="640" w:firstLineChars="200"/>
        <w:contextualSpacing/>
        <w:rPr>
          <w:rFonts w:ascii="仿宋" w:hAnsi="仿宋" w:eastAsia="仿宋" w:cs="Times New Roman"/>
          <w:sz w:val="32"/>
          <w:szCs w:val="20"/>
        </w:rPr>
      </w:pPr>
      <w:r>
        <w:rPr>
          <w:rFonts w:hint="eastAsia" w:ascii="黑体" w:hAnsi="黑体" w:eastAsia="黑体" w:cs="Times New Roman"/>
          <w:sz w:val="32"/>
          <w:szCs w:val="30"/>
        </w:rPr>
        <w:t xml:space="preserve">第五十六条  </w:t>
      </w:r>
      <w:r>
        <w:rPr>
          <w:rFonts w:hint="eastAsia" w:ascii="仿宋" w:hAnsi="仿宋" w:eastAsia="仿宋" w:cs="Times New Roman"/>
          <w:sz w:val="32"/>
          <w:szCs w:val="30"/>
        </w:rPr>
        <w:t>有证据证明买卖双方一致同意变更合同，但一方未按变更后合同履行的，视为该方违约。</w:t>
      </w:r>
    </w:p>
    <w:p w14:paraId="1ADAD537">
      <w:pPr>
        <w:snapToGrid w:val="0"/>
        <w:spacing w:before="156" w:beforeLines="50" w:line="560" w:lineRule="atLeast"/>
        <w:ind w:firstLine="640" w:firstLineChars="200"/>
        <w:contextualSpacing/>
        <w:rPr>
          <w:rFonts w:ascii="仿宋" w:hAnsi="仿宋" w:eastAsia="仿宋" w:cs="Times New Roman"/>
          <w:sz w:val="32"/>
        </w:rPr>
      </w:pPr>
      <w:r>
        <w:rPr>
          <w:rFonts w:hint="eastAsia" w:ascii="黑体" w:hAnsi="黑体" w:eastAsia="黑体" w:cs="Times New Roman"/>
          <w:sz w:val="32"/>
          <w:szCs w:val="30"/>
        </w:rPr>
        <w:t xml:space="preserve">第五十七条  </w:t>
      </w:r>
      <w:r>
        <w:rPr>
          <w:rFonts w:hint="eastAsia" w:ascii="仿宋" w:hAnsi="仿宋" w:eastAsia="仿宋" w:cs="Times New Roman"/>
          <w:sz w:val="32"/>
        </w:rPr>
        <w:t>卖方违约时，交易市场向卖方发《违约通知书》并通知对应买方。在发出通知后的</w:t>
      </w:r>
      <w:r>
        <w:rPr>
          <w:rFonts w:ascii="仿宋" w:hAnsi="仿宋" w:eastAsia="仿宋" w:cs="Times New Roman"/>
          <w:sz w:val="32"/>
        </w:rPr>
        <w:t>2</w:t>
      </w:r>
      <w:r>
        <w:rPr>
          <w:rFonts w:hint="eastAsia" w:ascii="仿宋" w:hAnsi="仿宋" w:eastAsia="仿宋" w:cs="Times New Roman"/>
          <w:sz w:val="32"/>
        </w:rPr>
        <w:t>个工作日内划转相应履约保证金作为违约金，由交易市场将违约金支付给买方。同时释放买方履约保证金或者撤销仓单抵免履约保证金，向买方退回剩余货款，合同执行完毕。</w:t>
      </w:r>
    </w:p>
    <w:p w14:paraId="65571181">
      <w:pPr>
        <w:snapToGrid w:val="0"/>
        <w:spacing w:before="156" w:beforeLines="50" w:line="560" w:lineRule="atLeast"/>
        <w:ind w:firstLine="600"/>
        <w:contextualSpacing/>
        <w:rPr>
          <w:rFonts w:ascii="仿宋" w:hAnsi="仿宋" w:eastAsia="仿宋" w:cs="Times New Roman"/>
          <w:sz w:val="32"/>
        </w:rPr>
      </w:pPr>
      <w:r>
        <w:rPr>
          <w:rFonts w:hint="eastAsia" w:ascii="黑体" w:hAnsi="黑体" w:eastAsia="黑体" w:cs="Times New Roman"/>
          <w:sz w:val="32"/>
          <w:szCs w:val="30"/>
        </w:rPr>
        <w:t xml:space="preserve">第五十八条  </w:t>
      </w:r>
      <w:r>
        <w:rPr>
          <w:rFonts w:hint="eastAsia" w:ascii="仿宋" w:hAnsi="仿宋" w:eastAsia="仿宋" w:cs="Times New Roman"/>
          <w:sz w:val="32"/>
        </w:rPr>
        <w:t>买方违约时，交易市场向买方发《违约通知书》并通知对应卖方。在发出通知后的</w:t>
      </w:r>
      <w:r>
        <w:rPr>
          <w:rFonts w:ascii="仿宋" w:hAnsi="仿宋" w:eastAsia="仿宋" w:cs="Times New Roman"/>
          <w:sz w:val="32"/>
        </w:rPr>
        <w:t>2</w:t>
      </w:r>
      <w:r>
        <w:rPr>
          <w:rFonts w:hint="eastAsia" w:ascii="仿宋" w:hAnsi="仿宋" w:eastAsia="仿宋" w:cs="Times New Roman"/>
          <w:sz w:val="32"/>
        </w:rPr>
        <w:t>个工作日内划转相应履约保证金作为违约金，由交易市场将违约金支付给卖方。同时释放卖方履约保证金或者撤销仓单抵免</w:t>
      </w:r>
      <w:r>
        <w:rPr>
          <w:rFonts w:ascii="仿宋" w:hAnsi="仿宋" w:eastAsia="仿宋" w:cs="Times New Roman"/>
          <w:sz w:val="32"/>
        </w:rPr>
        <w:t>履约</w:t>
      </w:r>
      <w:r>
        <w:rPr>
          <w:rFonts w:hint="eastAsia" w:ascii="仿宋" w:hAnsi="仿宋" w:eastAsia="仿宋" w:cs="Times New Roman"/>
          <w:sz w:val="32"/>
        </w:rPr>
        <w:t>保证金，合同执行完毕。在此情况下，卖方可将相应批次棉花重新通过交易系统卖出。</w:t>
      </w:r>
    </w:p>
    <w:p w14:paraId="257E39EA">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 xml:space="preserve">第五十九条  </w:t>
      </w:r>
      <w:r>
        <w:rPr>
          <w:rFonts w:hint="eastAsia" w:ascii="仿宋" w:hAnsi="仿宋" w:eastAsia="仿宋" w:cs="Times New Roman"/>
          <w:sz w:val="32"/>
          <w:szCs w:val="30"/>
        </w:rPr>
        <w:t>在交易或提货过程中，发现信息资料有误时，属于提供资料错误的，由资料提供方承担责任。因上述原因造成的退货，无过错方不按违约处理。</w:t>
      </w:r>
    </w:p>
    <w:p w14:paraId="78A6434D">
      <w:pPr>
        <w:snapToGrid w:val="0"/>
        <w:spacing w:before="156" w:beforeLines="50" w:line="560" w:lineRule="atLeast"/>
        <w:ind w:firstLine="600"/>
        <w:contextualSpacing/>
        <w:rPr>
          <w:rFonts w:ascii="仿宋" w:hAnsi="仿宋" w:eastAsia="仿宋" w:cs="Times New Roman"/>
          <w:sz w:val="32"/>
          <w:szCs w:val="30"/>
        </w:rPr>
      </w:pPr>
    </w:p>
    <w:p w14:paraId="04922EDA">
      <w:pPr>
        <w:widowControl/>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第七章  信息披露</w:t>
      </w:r>
    </w:p>
    <w:p w14:paraId="15FF1A59">
      <w:pPr>
        <w:snapToGrid w:val="0"/>
        <w:spacing w:before="156" w:beforeLines="50" w:line="560" w:lineRule="atLeast"/>
        <w:ind w:firstLine="600"/>
        <w:contextualSpacing/>
        <w:rPr>
          <w:rFonts w:ascii="仿宋" w:hAnsi="仿宋" w:eastAsia="仿宋" w:cs="Times New Roman"/>
          <w:sz w:val="32"/>
          <w:szCs w:val="30"/>
        </w:rPr>
      </w:pPr>
      <w:r>
        <w:rPr>
          <w:rFonts w:hint="eastAsia" w:ascii="黑体" w:hAnsi="黑体" w:eastAsia="黑体" w:cs="Times New Roman"/>
          <w:sz w:val="32"/>
          <w:szCs w:val="30"/>
        </w:rPr>
        <w:t xml:space="preserve">第六十条  </w:t>
      </w:r>
      <w:r>
        <w:rPr>
          <w:rFonts w:hint="eastAsia" w:ascii="仿宋" w:hAnsi="仿宋" w:eastAsia="仿宋" w:cs="Times New Roman"/>
          <w:sz w:val="32"/>
          <w:szCs w:val="30"/>
        </w:rPr>
        <w:t>交易市场对外发布商品棉交易情况、成交价格、成交量等有关信息。</w:t>
      </w:r>
    </w:p>
    <w:p w14:paraId="6F994D35">
      <w:pPr>
        <w:snapToGrid w:val="0"/>
        <w:spacing w:before="156" w:beforeLines="50" w:line="560" w:lineRule="atLeast"/>
        <w:ind w:firstLine="570"/>
        <w:contextualSpacing/>
        <w:rPr>
          <w:rFonts w:ascii="仿宋" w:hAnsi="仿宋" w:eastAsia="仿宋" w:cs="Times New Roman"/>
          <w:sz w:val="32"/>
          <w:szCs w:val="30"/>
        </w:rPr>
      </w:pPr>
      <w:r>
        <w:rPr>
          <w:rFonts w:hint="eastAsia" w:ascii="黑体" w:hAnsi="黑体" w:eastAsia="黑体" w:cs="Times New Roman"/>
          <w:sz w:val="32"/>
          <w:szCs w:val="30"/>
        </w:rPr>
        <w:t xml:space="preserve">第六十一条  </w:t>
      </w:r>
      <w:r>
        <w:rPr>
          <w:rFonts w:hint="eastAsia" w:ascii="仿宋" w:hAnsi="仿宋" w:eastAsia="仿宋" w:cs="Times New Roman"/>
          <w:sz w:val="32"/>
          <w:szCs w:val="30"/>
        </w:rPr>
        <w:t>交易市场有权根据商品棉交易交割、保证金管理以及风险控制中的实际情况完善本办法，并通过书面文件、e棉网、交易市场官网以及中国棉花信息网等方式以“通知”形式对外发布。</w:t>
      </w:r>
    </w:p>
    <w:p w14:paraId="0798DBED">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第六十二条  </w:t>
      </w:r>
      <w:r>
        <w:rPr>
          <w:rFonts w:hint="eastAsia" w:ascii="仿宋" w:hAnsi="仿宋" w:eastAsia="仿宋" w:cs="Times New Roman"/>
          <w:sz w:val="32"/>
          <w:szCs w:val="30"/>
        </w:rPr>
        <w:t>交易市场以e棉网、交易市场官网和中国棉花信息网作为对外公开发布“通知”及相关信息的电子媒体，交易市场不对其它媒体转发信息的真实性、准确性负责。</w:t>
      </w:r>
    </w:p>
    <w:p w14:paraId="52F882CD">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第六十三条  </w:t>
      </w:r>
      <w:r>
        <w:rPr>
          <w:rFonts w:hint="eastAsia" w:ascii="仿宋" w:hAnsi="仿宋" w:eastAsia="仿宋" w:cs="Times New Roman"/>
          <w:sz w:val="32"/>
          <w:szCs w:val="30"/>
        </w:rPr>
        <w:t>交易市场向交易商提供的任何信息均不构成对交易商下达交易指令的提示或暗示。</w:t>
      </w:r>
    </w:p>
    <w:p w14:paraId="6724884E">
      <w:pPr>
        <w:snapToGrid w:val="0"/>
        <w:spacing w:before="156" w:beforeLines="50" w:line="560" w:lineRule="atLeast"/>
        <w:ind w:firstLine="640" w:firstLineChars="200"/>
        <w:contextualSpacing/>
        <w:rPr>
          <w:rFonts w:ascii="仿宋" w:hAnsi="仿宋" w:eastAsia="仿宋" w:cs="Times New Roman"/>
          <w:sz w:val="32"/>
          <w:szCs w:val="30"/>
        </w:rPr>
      </w:pPr>
      <w:r>
        <w:rPr>
          <w:rFonts w:hint="eastAsia" w:ascii="黑体" w:hAnsi="黑体" w:eastAsia="黑体" w:cs="Times New Roman"/>
          <w:sz w:val="32"/>
          <w:szCs w:val="30"/>
        </w:rPr>
        <w:t xml:space="preserve">第六十四条  </w:t>
      </w:r>
      <w:r>
        <w:rPr>
          <w:rFonts w:hint="eastAsia" w:ascii="仿宋" w:hAnsi="仿宋" w:eastAsia="仿宋" w:cs="Times New Roman"/>
          <w:sz w:val="32"/>
          <w:szCs w:val="30"/>
        </w:rPr>
        <w:t>交易市场的重要“通知”通过交易系统、e棉网、交易市场官网或中国棉花信息网发布。无论采取哪一种方式发布，“通知”发布后即视为交易市场已将“通知”内容有效送达交易商，交易商已收到并了解“通知”内容。</w:t>
      </w:r>
    </w:p>
    <w:p w14:paraId="487369A6">
      <w:pPr>
        <w:snapToGrid w:val="0"/>
        <w:spacing w:before="156" w:beforeLines="50" w:line="560" w:lineRule="atLeast"/>
        <w:ind w:firstLine="640" w:firstLineChars="200"/>
        <w:contextualSpacing/>
        <w:rPr>
          <w:rFonts w:ascii="仿宋" w:hAnsi="仿宋" w:eastAsia="仿宋" w:cs="Times New Roman"/>
          <w:sz w:val="32"/>
          <w:szCs w:val="30"/>
        </w:rPr>
      </w:pPr>
    </w:p>
    <w:p w14:paraId="285DCD20">
      <w:pPr>
        <w:widowControl/>
        <w:snapToGrid w:val="0"/>
        <w:spacing w:before="156" w:beforeLines="50" w:line="560" w:lineRule="atLeast"/>
        <w:contextualSpacing/>
        <w:jc w:val="center"/>
        <w:rPr>
          <w:rFonts w:ascii="黑体" w:hAnsi="黑体" w:eastAsia="黑体" w:cs="Times New Roman"/>
          <w:kern w:val="0"/>
          <w:sz w:val="32"/>
          <w:szCs w:val="30"/>
        </w:rPr>
      </w:pPr>
      <w:r>
        <w:rPr>
          <w:rFonts w:hint="eastAsia" w:ascii="黑体" w:hAnsi="黑体" w:eastAsia="黑体" w:cs="Times New Roman"/>
          <w:kern w:val="0"/>
          <w:sz w:val="32"/>
          <w:szCs w:val="30"/>
        </w:rPr>
        <w:t>第八章  附则</w:t>
      </w:r>
    </w:p>
    <w:p w14:paraId="2BE309CE">
      <w:pPr>
        <w:widowControl/>
        <w:snapToGrid w:val="0"/>
        <w:spacing w:before="156" w:beforeLines="50" w:line="560" w:lineRule="atLeast"/>
        <w:ind w:firstLine="640" w:firstLineChars="200"/>
        <w:contextualSpacing/>
        <w:rPr>
          <w:rFonts w:ascii="仿宋" w:hAnsi="仿宋" w:eastAsia="仿宋" w:cs="Times New Roman"/>
          <w:kern w:val="0"/>
          <w:sz w:val="32"/>
          <w:szCs w:val="21"/>
        </w:rPr>
      </w:pPr>
      <w:r>
        <w:rPr>
          <w:rFonts w:hint="eastAsia" w:ascii="黑体" w:hAnsi="黑体" w:eastAsia="黑体" w:cs="Times New Roman"/>
          <w:kern w:val="0"/>
          <w:sz w:val="32"/>
          <w:szCs w:val="30"/>
        </w:rPr>
        <w:t>第六十五条</w:t>
      </w:r>
      <w:r>
        <w:rPr>
          <w:rFonts w:hint="eastAsia" w:ascii="仿宋" w:hAnsi="仿宋" w:eastAsia="仿宋" w:cs="Times New Roman"/>
          <w:kern w:val="0"/>
          <w:sz w:val="32"/>
          <w:szCs w:val="21"/>
        </w:rPr>
        <w:t xml:space="preserve">  本办法由交易市场负责解释和修改。如交易商与交易市场就本办法各条款的理解、解释、执行等发生争议，应通过协商解决；如协商不一致，交易商应向北京市西城区人民法院提起诉讼。在争议协商或诉讼期间，不停止本办法的执行。</w:t>
      </w:r>
    </w:p>
    <w:p w14:paraId="629C1005">
      <w:pPr>
        <w:spacing w:before="156" w:beforeLines="50"/>
        <w:ind w:firstLine="640" w:firstLineChars="200"/>
        <w:rPr>
          <w:rFonts w:ascii="Calibri" w:hAnsi="Calibri" w:eastAsia="宋体" w:cs="Times New Roman"/>
        </w:rPr>
      </w:pPr>
      <w:r>
        <w:rPr>
          <w:rFonts w:hint="eastAsia" w:ascii="黑体" w:hAnsi="黑体" w:eastAsia="黑体" w:cs="Times New Roman"/>
          <w:sz w:val="32"/>
        </w:rPr>
        <w:t>第</w:t>
      </w:r>
      <w:r>
        <w:rPr>
          <w:rFonts w:hint="eastAsia" w:ascii="黑体" w:hAnsi="黑体" w:eastAsia="黑体" w:cs="Times New Roman"/>
          <w:sz w:val="32"/>
          <w:szCs w:val="30"/>
        </w:rPr>
        <w:t>六十六</w:t>
      </w:r>
      <w:r>
        <w:rPr>
          <w:rFonts w:hint="eastAsia" w:ascii="黑体" w:hAnsi="黑体" w:eastAsia="黑体" w:cs="Times New Roman"/>
          <w:sz w:val="32"/>
        </w:rPr>
        <w:t xml:space="preserve">条  </w:t>
      </w:r>
      <w:r>
        <w:rPr>
          <w:rFonts w:hint="eastAsia" w:ascii="仿宋" w:hAnsi="仿宋" w:eastAsia="仿宋" w:cs="Times New Roman"/>
          <w:sz w:val="32"/>
        </w:rPr>
        <w:t>本办法自发布之日起实施。如交易市场在前述生效日前发布的有关规定或通知与本办法有不一致或存在冲突的，以本办法的规定为准。</w:t>
      </w:r>
    </w:p>
    <w:p w14:paraId="5D66502A">
      <w:pPr>
        <w:spacing w:before="156" w:beforeLines="50"/>
        <w:rPr>
          <w:rFonts w:ascii="Calibri" w:hAnsi="Calibri" w:eastAsia="宋体" w:cs="Times New Roman"/>
        </w:rPr>
      </w:pPr>
    </w:p>
    <w:p w14:paraId="2325BFD6">
      <w:pPr>
        <w:spacing w:before="156" w:beforeLines="50"/>
        <w:rPr>
          <w:rFonts w:ascii="Calibri" w:hAnsi="Calibri" w:eastAsia="宋体" w:cs="Times New Roman"/>
        </w:rPr>
      </w:pPr>
    </w:p>
    <w:p w14:paraId="3AEE5BC1">
      <w:pPr>
        <w:spacing w:before="156" w:beforeLines="50"/>
        <w:rPr>
          <w:rFonts w:ascii="Calibri" w:hAnsi="Calibri" w:eastAsia="宋体" w:cs="Times New Roman"/>
        </w:rPr>
      </w:pPr>
    </w:p>
    <w:p w14:paraId="34B42F31">
      <w:pPr>
        <w:spacing w:before="156" w:beforeLines="50"/>
        <w:rPr>
          <w:rFonts w:ascii="Calibri" w:hAnsi="Calibri" w:eastAsia="宋体" w:cs="Times New Roman"/>
        </w:rPr>
      </w:pPr>
    </w:p>
    <w:p w14:paraId="2C84F7E1">
      <w:pPr>
        <w:spacing w:before="156" w:beforeLines="50"/>
        <w:rPr>
          <w:rFonts w:ascii="Calibri" w:hAnsi="Calibri" w:eastAsia="宋体" w:cs="Times New Roman"/>
        </w:rPr>
      </w:pPr>
    </w:p>
    <w:p w14:paraId="3BAC157D">
      <w:pPr>
        <w:spacing w:before="156" w:beforeLines="50"/>
        <w:rPr>
          <w:rFonts w:ascii="Calibri" w:hAnsi="Calibri" w:eastAsia="宋体" w:cs="Times New Roman"/>
        </w:rPr>
      </w:pPr>
    </w:p>
    <w:p w14:paraId="056F2379">
      <w:pPr>
        <w:spacing w:before="156" w:beforeLines="50"/>
        <w:rPr>
          <w:rFonts w:ascii="Calibri" w:hAnsi="Calibri" w:eastAsia="宋体" w:cs="Times New Roman"/>
        </w:rPr>
      </w:pPr>
    </w:p>
    <w:p w14:paraId="2B7D2C67">
      <w:pPr>
        <w:spacing w:before="156" w:beforeLines="50"/>
        <w:rPr>
          <w:rFonts w:ascii="Calibri" w:hAnsi="Calibri" w:eastAsia="宋体" w:cs="Times New Roman"/>
        </w:rPr>
      </w:pPr>
    </w:p>
    <w:p w14:paraId="17300736">
      <w:pPr>
        <w:spacing w:before="156" w:beforeLines="50"/>
        <w:rPr>
          <w:rFonts w:ascii="Calibri" w:hAnsi="Calibri" w:eastAsia="宋体" w:cs="Times New Roman"/>
        </w:rPr>
      </w:pPr>
    </w:p>
    <w:p w14:paraId="351F7291">
      <w:pPr>
        <w:spacing w:before="156" w:beforeLines="50"/>
        <w:rPr>
          <w:rFonts w:ascii="Calibri" w:hAnsi="Calibri" w:eastAsia="宋体" w:cs="Times New Roman"/>
        </w:rPr>
      </w:pPr>
    </w:p>
    <w:p w14:paraId="761E076A">
      <w:pPr>
        <w:spacing w:before="156" w:beforeLines="50"/>
        <w:rPr>
          <w:rFonts w:ascii="Calibri" w:hAnsi="Calibri" w:eastAsia="宋体" w:cs="Times New Roman"/>
        </w:rPr>
      </w:pPr>
    </w:p>
    <w:p w14:paraId="443BAD43">
      <w:pPr>
        <w:spacing w:before="156" w:beforeLines="50"/>
        <w:rPr>
          <w:rFonts w:ascii="Calibri" w:hAnsi="Calibri" w:eastAsia="宋体" w:cs="Times New Roman"/>
        </w:rPr>
      </w:pPr>
    </w:p>
    <w:p w14:paraId="02FBB327">
      <w:pPr>
        <w:spacing w:before="156" w:beforeLines="50"/>
        <w:rPr>
          <w:rFonts w:ascii="Calibri" w:hAnsi="Calibri" w:eastAsia="宋体" w:cs="Times New Roman"/>
        </w:rPr>
      </w:pPr>
    </w:p>
    <w:p w14:paraId="556ADDB2">
      <w:pPr>
        <w:spacing w:before="156" w:beforeLines="50"/>
        <w:rPr>
          <w:rFonts w:ascii="Calibri" w:hAnsi="Calibri" w:eastAsia="宋体" w:cs="Times New Roman"/>
        </w:rPr>
      </w:pPr>
    </w:p>
    <w:p w14:paraId="7AA24391">
      <w:pPr>
        <w:spacing w:before="156" w:beforeLines="50"/>
        <w:rPr>
          <w:rFonts w:ascii="Calibri" w:hAnsi="Calibri" w:eastAsia="宋体" w:cs="Times New Roman"/>
        </w:rPr>
      </w:pPr>
    </w:p>
    <w:p w14:paraId="612E17D5">
      <w:pPr>
        <w:spacing w:before="156" w:beforeLines="50"/>
        <w:rPr>
          <w:rFonts w:ascii="Calibri" w:hAnsi="Calibri" w:eastAsia="宋体" w:cs="Times New Roman"/>
        </w:rPr>
      </w:pPr>
    </w:p>
    <w:p w14:paraId="702E7B72">
      <w:pPr>
        <w:spacing w:before="156" w:beforeLines="50"/>
        <w:rPr>
          <w:rFonts w:ascii="Calibri" w:hAnsi="Calibri" w:eastAsia="宋体" w:cs="Times New Roman"/>
        </w:rPr>
      </w:pPr>
    </w:p>
    <w:p w14:paraId="1DDE2790">
      <w:pPr>
        <w:spacing w:before="156" w:beforeLines="50"/>
        <w:rPr>
          <w:rFonts w:ascii="Calibri" w:hAnsi="Calibri" w:eastAsia="宋体" w:cs="Times New Roman"/>
        </w:rPr>
      </w:pPr>
    </w:p>
    <w:p w14:paraId="18C503E6"/>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D19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27CD96">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327CD96">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A02B23"/>
    <w:multiLevelType w:val="singleLevel"/>
    <w:tmpl w:val="4AA02B23"/>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A0F32"/>
    <w:rsid w:val="170A0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qFormat/>
    <w:uiPriority w:val="9"/>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itle"/>
    <w:basedOn w:val="1"/>
    <w:next w:val="1"/>
    <w:qFormat/>
    <w:uiPriority w:val="10"/>
    <w:pPr>
      <w:spacing w:before="240" w:after="60" w:line="560" w:lineRule="atLeast"/>
      <w:jc w:val="center"/>
      <w:outlineLvl w:val="0"/>
    </w:pPr>
    <w:rPr>
      <w:rFonts w:ascii="Cambria" w:hAnsi="Cambria" w:eastAsia="宋体" w:cs="Times New Roman"/>
      <w:b/>
      <w:bCs/>
      <w:kern w:val="0"/>
      <w:sz w:val="44"/>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2025-12-05T06:40:00Z</dcterms:created>
  <dc:creator>王思远</dc:creator>
  <cp:lastModifiedBy>王思远</cp:lastModifiedBy>
  <dcterms:modified xsi:type="dcterms:W3CDTF">2025-12-05T06:41:02Z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CD53F7C2EC064FD5B9996BEDA699CC78_11</vt:lpwstr>
  </property>
  <property fmtid="{D5CDD505-2E9C-101B-9397-08002B2CF9AE}" pid="4" name="KSOTemplateDocerSaveRecord">
    <vt:lpwstr>eyJoZGlkIjoiMDUwYmE3M2U1ODkwY2I1YWYxNjRiOGVjZDg4MmE0YTkiLCJ1c2VySWQiOiIyNjQwMDgwOTcifQ==</vt:lpwstr>
  </property>
</Properties>
</file>