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1F8EB">
      <w:pPr>
        <w:pStyle w:val="7"/>
        <w:snapToGrid w:val="0"/>
        <w:spacing w:line="580" w:lineRule="atLeast"/>
        <w:contextualSpacing/>
        <w:rPr>
          <w:rFonts w:hint="eastAsia" w:ascii="宋体" w:hAnsi="宋体" w:cs="宋体"/>
          <w:szCs w:val="44"/>
        </w:rPr>
      </w:pPr>
      <w:r>
        <w:rPr>
          <w:rFonts w:hint="eastAsia" w:ascii="宋体" w:hAnsi="宋体" w:cs="宋体"/>
          <w:szCs w:val="44"/>
        </w:rPr>
        <w:t>中国棉花棉纱交易中心</w:t>
      </w:r>
    </w:p>
    <w:p w14:paraId="6770C098">
      <w:pPr>
        <w:pStyle w:val="7"/>
        <w:snapToGrid w:val="0"/>
        <w:spacing w:line="580" w:lineRule="atLeast"/>
        <w:contextualSpacing/>
        <w:rPr>
          <w:rFonts w:hint="eastAsia" w:ascii="宋体" w:hAnsi="宋体" w:cs="宋体"/>
          <w:szCs w:val="44"/>
        </w:rPr>
      </w:pPr>
      <w:r>
        <w:rPr>
          <w:rFonts w:hint="eastAsia" w:ascii="宋体" w:hAnsi="宋体" w:cs="宋体"/>
          <w:szCs w:val="44"/>
        </w:rPr>
        <w:t>棉花棉纱</w:t>
      </w:r>
      <w:r>
        <w:rPr>
          <w:rFonts w:hint="eastAsia" w:ascii="宋体" w:hAnsi="宋体" w:eastAsia="宋体" w:cs="宋体"/>
          <w:szCs w:val="44"/>
        </w:rPr>
        <w:t>现货挂牌</w:t>
      </w:r>
      <w:r>
        <w:rPr>
          <w:rFonts w:hint="eastAsia" w:ascii="宋体" w:hAnsi="宋体" w:cs="宋体"/>
          <w:szCs w:val="44"/>
        </w:rPr>
        <w:t>交易交割管理办法</w:t>
      </w:r>
    </w:p>
    <w:p w14:paraId="401D9B4D">
      <w:pPr>
        <w:jc w:val="center"/>
        <w:rPr>
          <w:rFonts w:hint="eastAsia"/>
        </w:rPr>
      </w:pPr>
      <w:r>
        <w:rPr>
          <w:rFonts w:hint="eastAsia" w:ascii="仿宋" w:hAnsi="仿宋" w:eastAsia="仿宋"/>
          <w:sz w:val="32"/>
          <w:szCs w:val="32"/>
        </w:rPr>
        <w:t>（</w:t>
      </w:r>
      <w:r>
        <w:rPr>
          <w:rFonts w:hint="eastAsia" w:ascii="仿宋" w:hAnsi="仿宋" w:eastAsia="仿宋"/>
          <w:sz w:val="32"/>
          <w:szCs w:val="32"/>
          <w:lang w:val="en-US" w:eastAsia="zh-CN"/>
        </w:rPr>
        <w:t>征求意见稿</w:t>
      </w:r>
      <w:r>
        <w:rPr>
          <w:rFonts w:ascii="仿宋" w:hAnsi="仿宋" w:eastAsia="仿宋"/>
          <w:sz w:val="32"/>
          <w:szCs w:val="32"/>
        </w:rPr>
        <w:t>）</w:t>
      </w:r>
    </w:p>
    <w:p w14:paraId="5479E3E8">
      <w:pPr>
        <w:spacing w:line="580" w:lineRule="atLeast"/>
        <w:rPr>
          <w:sz w:val="32"/>
          <w:szCs w:val="32"/>
        </w:rPr>
      </w:pPr>
    </w:p>
    <w:p w14:paraId="46BB37EB">
      <w:pPr>
        <w:pStyle w:val="10"/>
        <w:snapToGrid w:val="0"/>
        <w:spacing w:line="580" w:lineRule="atLeast"/>
        <w:ind w:firstLine="0" w:firstLineChars="0"/>
        <w:contextualSpacing/>
        <w:jc w:val="center"/>
        <w:rPr>
          <w:rFonts w:hint="eastAsia" w:ascii="黑体" w:hAnsi="黑体" w:eastAsia="黑体"/>
          <w:sz w:val="32"/>
          <w:szCs w:val="32"/>
        </w:rPr>
      </w:pPr>
      <w:bookmarkStart w:id="0" w:name="_Toc385256290"/>
      <w:bookmarkStart w:id="1" w:name="_Toc192917537"/>
      <w:bookmarkStart w:id="2" w:name="_Toc191556329"/>
      <w:r>
        <w:rPr>
          <w:rFonts w:hint="eastAsia" w:ascii="黑体" w:hAnsi="黑体" w:eastAsia="黑体"/>
          <w:sz w:val="32"/>
          <w:szCs w:val="32"/>
        </w:rPr>
        <w:t>第一章  总则</w:t>
      </w:r>
      <w:bookmarkEnd w:id="0"/>
      <w:bookmarkEnd w:id="1"/>
      <w:bookmarkEnd w:id="2"/>
    </w:p>
    <w:p w14:paraId="2D40530E">
      <w:pPr>
        <w:snapToGrid w:val="0"/>
        <w:spacing w:line="580" w:lineRule="atLeast"/>
        <w:ind w:firstLine="600"/>
        <w:contextualSpacing/>
        <w:rPr>
          <w:rFonts w:hint="eastAsia" w:ascii="仿宋" w:hAnsi="仿宋" w:eastAsia="仿宋"/>
          <w:sz w:val="32"/>
          <w:szCs w:val="32"/>
        </w:rPr>
      </w:pPr>
      <w:r>
        <w:rPr>
          <w:rFonts w:hint="eastAsia" w:ascii="黑体" w:hAnsi="黑体" w:eastAsia="黑体"/>
          <w:sz w:val="32"/>
          <w:szCs w:val="32"/>
        </w:rPr>
        <w:t>第一条</w:t>
      </w:r>
      <w:r>
        <w:rPr>
          <w:rFonts w:hint="eastAsia" w:ascii="仿宋" w:hAnsi="仿宋" w:eastAsia="仿宋"/>
          <w:sz w:val="32"/>
          <w:szCs w:val="32"/>
        </w:rPr>
        <w:t xml:space="preserve">  为保障中国棉花棉纱交易中心（以下简称交易中心）</w:t>
      </w:r>
      <w:r>
        <w:rPr>
          <w:rFonts w:hint="eastAsia" w:ascii="仿宋" w:hAnsi="仿宋" w:eastAsia="仿宋" w:cs="仿宋"/>
          <w:sz w:val="32"/>
          <w:szCs w:val="32"/>
        </w:rPr>
        <w:t>棉花棉纱现货挂牌交易</w:t>
      </w:r>
      <w:r>
        <w:rPr>
          <w:rFonts w:hint="eastAsia" w:ascii="仿宋" w:hAnsi="仿宋" w:eastAsia="仿宋"/>
          <w:sz w:val="32"/>
          <w:szCs w:val="32"/>
        </w:rPr>
        <w:t>（以下简称</w:t>
      </w:r>
      <w:r>
        <w:rPr>
          <w:rFonts w:hint="eastAsia" w:ascii="仿宋" w:hAnsi="仿宋" w:eastAsia="仿宋" w:cs="仿宋"/>
          <w:sz w:val="32"/>
          <w:szCs w:val="32"/>
        </w:rPr>
        <w:t>现货挂牌</w:t>
      </w:r>
      <w:r>
        <w:rPr>
          <w:rFonts w:hint="eastAsia" w:ascii="仿宋" w:hAnsi="仿宋" w:eastAsia="仿宋" w:cs="仿宋"/>
          <w:sz w:val="32"/>
          <w:szCs w:val="32"/>
          <w:lang w:val="en-US" w:eastAsia="zh-CN"/>
        </w:rPr>
        <w:t>交易</w:t>
      </w:r>
      <w:r>
        <w:rPr>
          <w:rFonts w:hint="eastAsia" w:ascii="仿宋" w:hAnsi="仿宋" w:eastAsia="仿宋"/>
          <w:sz w:val="32"/>
          <w:szCs w:val="32"/>
        </w:rPr>
        <w:t>）平稳有序开展，维护参与交易各方的合法权益，依据《中华人民共和国民法典》及国家关于电子商务的相关法</w:t>
      </w:r>
      <w:bookmarkStart w:id="19" w:name="_GoBack"/>
      <w:bookmarkEnd w:id="19"/>
      <w:r>
        <w:rPr>
          <w:rFonts w:hint="eastAsia" w:ascii="仿宋" w:hAnsi="仿宋" w:eastAsia="仿宋"/>
          <w:sz w:val="32"/>
          <w:szCs w:val="32"/>
        </w:rPr>
        <w:t>律、法规与规章，遵循公开、公平、公正原则，制订本办法。</w:t>
      </w:r>
    </w:p>
    <w:p w14:paraId="78C8B2B3">
      <w:pPr>
        <w:pStyle w:val="3"/>
        <w:snapToGrid w:val="0"/>
        <w:spacing w:line="580" w:lineRule="atLeast"/>
        <w:ind w:firstLine="640" w:firstLineChars="200"/>
        <w:contextualSpacing/>
        <w:rPr>
          <w:rFonts w:ascii="仿宋" w:hAnsi="仿宋" w:eastAsia="仿宋"/>
          <w:sz w:val="32"/>
          <w:szCs w:val="32"/>
        </w:rPr>
      </w:pPr>
      <w:r>
        <w:rPr>
          <w:rFonts w:hint="eastAsia" w:ascii="黑体" w:hAnsi="黑体" w:eastAsia="黑体"/>
          <w:sz w:val="32"/>
          <w:szCs w:val="32"/>
        </w:rPr>
        <w:t>第二条</w:t>
      </w:r>
      <w:r>
        <w:rPr>
          <w:rFonts w:hint="eastAsia" w:ascii="仿宋" w:hAnsi="仿宋" w:eastAsia="仿宋"/>
          <w:sz w:val="32"/>
          <w:szCs w:val="32"/>
        </w:rPr>
        <w:t xml:space="preserve">  本办法适用于</w:t>
      </w:r>
      <w:r>
        <w:rPr>
          <w:rFonts w:hint="eastAsia" w:ascii="仿宋" w:hAnsi="仿宋" w:eastAsia="仿宋" w:cs="仿宋"/>
          <w:sz w:val="32"/>
          <w:szCs w:val="32"/>
        </w:rPr>
        <w:t>现货挂牌</w:t>
      </w:r>
      <w:r>
        <w:rPr>
          <w:rFonts w:hint="eastAsia" w:ascii="仿宋" w:hAnsi="仿宋" w:eastAsia="仿宋"/>
          <w:sz w:val="32"/>
          <w:szCs w:val="32"/>
        </w:rPr>
        <w:t>交易和交割的各项行为，交易中心、买方、卖方必须遵守本办法。</w:t>
      </w:r>
    </w:p>
    <w:p w14:paraId="22C5D081">
      <w:pPr>
        <w:pStyle w:val="3"/>
        <w:ind w:firstLine="640" w:firstLineChars="200"/>
        <w:contextualSpacing/>
        <w:rPr>
          <w:rFonts w:ascii="仿宋" w:hAnsi="仿宋" w:eastAsia="仿宋"/>
          <w:sz w:val="32"/>
          <w:szCs w:val="32"/>
        </w:rPr>
      </w:pPr>
      <w:r>
        <w:rPr>
          <w:rFonts w:hint="eastAsia" w:ascii="黑体" w:hAnsi="黑体" w:eastAsia="黑体" w:cs="黑体"/>
          <w:sz w:val="32"/>
          <w:szCs w:val="32"/>
        </w:rPr>
        <w:t>第三条</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全国棉花交易市场</w:t>
      </w:r>
      <w:r>
        <w:rPr>
          <w:rFonts w:hint="eastAsia" w:ascii="仿宋" w:hAnsi="仿宋" w:eastAsia="仿宋"/>
          <w:sz w:val="32"/>
          <w:szCs w:val="32"/>
          <w:lang w:val="en-US" w:eastAsia="zh-CN"/>
        </w:rPr>
        <w:t>的电子</w:t>
      </w:r>
      <w:r>
        <w:rPr>
          <w:rFonts w:hint="eastAsia" w:ascii="仿宋" w:hAnsi="仿宋" w:eastAsia="仿宋"/>
          <w:sz w:val="32"/>
          <w:szCs w:val="32"/>
        </w:rPr>
        <w:t>仓单（以下简称</w:t>
      </w:r>
      <w:r>
        <w:rPr>
          <w:rFonts w:hint="eastAsia" w:ascii="仿宋" w:hAnsi="仿宋" w:eastAsia="仿宋"/>
          <w:sz w:val="32"/>
          <w:szCs w:val="32"/>
          <w:lang w:val="en-US" w:eastAsia="zh-CN"/>
        </w:rPr>
        <w:t>仓单</w:t>
      </w:r>
      <w:r>
        <w:rPr>
          <w:rFonts w:hint="eastAsia" w:ascii="仿宋" w:hAnsi="仿宋" w:eastAsia="仿宋"/>
          <w:sz w:val="32"/>
          <w:szCs w:val="32"/>
        </w:rPr>
        <w:t>）可通过现货挂牌交易、交割</w:t>
      </w:r>
      <w:r>
        <w:rPr>
          <w:rFonts w:hint="eastAsia" w:ascii="仿宋" w:hAnsi="仿宋" w:eastAsia="仿宋"/>
          <w:sz w:val="32"/>
          <w:szCs w:val="32"/>
          <w:lang w:val="en-US" w:eastAsia="zh-CN"/>
        </w:rPr>
        <w:t>或用于</w:t>
      </w:r>
      <w:r>
        <w:rPr>
          <w:rFonts w:hint="eastAsia" w:ascii="仿宋" w:hAnsi="仿宋" w:eastAsia="仿宋"/>
          <w:sz w:val="32"/>
          <w:szCs w:val="32"/>
        </w:rPr>
        <w:t>抵免保证金，相应仓单的管理按照《全国棉花交易市场电子仓单管理办法》执行。</w:t>
      </w:r>
    </w:p>
    <w:p w14:paraId="076AA864">
      <w:pPr>
        <w:pStyle w:val="3"/>
        <w:snapToGrid w:val="0"/>
        <w:spacing w:line="580" w:lineRule="atLeast"/>
        <w:ind w:firstLine="0" w:firstLineChars="0"/>
        <w:contextualSpacing/>
        <w:rPr>
          <w:rFonts w:hint="eastAsia" w:ascii="仿宋" w:hAnsi="仿宋" w:eastAsia="仿宋"/>
          <w:sz w:val="32"/>
          <w:szCs w:val="32"/>
        </w:rPr>
      </w:pPr>
    </w:p>
    <w:p w14:paraId="6309F949">
      <w:pPr>
        <w:pStyle w:val="10"/>
        <w:snapToGrid w:val="0"/>
        <w:spacing w:line="580" w:lineRule="atLeast"/>
        <w:ind w:firstLine="0" w:firstLineChars="0"/>
        <w:contextualSpacing/>
        <w:jc w:val="center"/>
        <w:rPr>
          <w:rFonts w:hint="eastAsia" w:ascii="黑体" w:hAnsi="黑体" w:eastAsia="黑体"/>
          <w:sz w:val="32"/>
          <w:szCs w:val="32"/>
        </w:rPr>
      </w:pPr>
      <w:bookmarkStart w:id="3" w:name="_Toc192917539"/>
      <w:bookmarkStart w:id="4" w:name="_Toc191556335"/>
      <w:bookmarkStart w:id="5" w:name="_Toc385256291"/>
      <w:r>
        <w:rPr>
          <w:rFonts w:hint="eastAsia" w:ascii="黑体" w:hAnsi="黑体" w:eastAsia="黑体"/>
          <w:sz w:val="32"/>
          <w:szCs w:val="32"/>
        </w:rPr>
        <w:t>第二章  交易</w:t>
      </w:r>
      <w:bookmarkEnd w:id="3"/>
      <w:bookmarkEnd w:id="4"/>
      <w:bookmarkEnd w:id="5"/>
    </w:p>
    <w:p w14:paraId="537B2EBD">
      <w:pPr>
        <w:spacing w:line="580" w:lineRule="atLeast"/>
        <w:ind w:firstLine="640" w:firstLineChars="200"/>
        <w:rPr>
          <w:rFonts w:hint="eastAsia" w:ascii="仿宋" w:hAnsi="仿宋" w:eastAsia="仿宋" w:cs="仿宋"/>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条</w:t>
      </w:r>
      <w:bookmarkStart w:id="6" w:name="_Toc191556336"/>
      <w:bookmarkStart w:id="7" w:name="_Toc192917540"/>
      <w:r>
        <w:rPr>
          <w:rFonts w:hint="eastAsia" w:ascii="黑体" w:hAnsi="黑体" w:eastAsia="黑体"/>
          <w:sz w:val="32"/>
          <w:szCs w:val="32"/>
        </w:rPr>
        <w:t xml:space="preserve">  </w:t>
      </w:r>
      <w:r>
        <w:rPr>
          <w:rFonts w:hint="eastAsia" w:ascii="仿宋" w:hAnsi="仿宋" w:eastAsia="仿宋" w:cs="仿宋"/>
          <w:sz w:val="32"/>
          <w:szCs w:val="32"/>
        </w:rPr>
        <w:t>现货挂牌</w:t>
      </w:r>
      <w:r>
        <w:rPr>
          <w:rFonts w:hint="eastAsia" w:ascii="仿宋" w:hAnsi="仿宋" w:eastAsia="仿宋"/>
          <w:sz w:val="32"/>
          <w:szCs w:val="32"/>
        </w:rPr>
        <w:t>交易</w:t>
      </w:r>
      <w:r>
        <w:rPr>
          <w:rFonts w:hint="eastAsia" w:ascii="仿宋" w:hAnsi="仿宋" w:eastAsia="仿宋" w:cs="仿宋"/>
          <w:sz w:val="32"/>
          <w:szCs w:val="32"/>
        </w:rPr>
        <w:t>是指卖方通过交易中心交易系统，将商品的品牌、规格等商品属性和交货地点、交货时间、数量、价格等交易信息对外发布，双方达成成交意向并签订电子合同，经交易中心见证后进行实物交割的交易模式。</w:t>
      </w:r>
    </w:p>
    <w:p w14:paraId="61E92430">
      <w:pPr>
        <w:snapToGrid w:val="0"/>
        <w:spacing w:line="580" w:lineRule="atLeast"/>
        <w:ind w:firstLine="640" w:firstLineChars="200"/>
        <w:contextualSpacing/>
        <w:rPr>
          <w:rFonts w:hint="eastAsia"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条</w:t>
      </w:r>
      <w:r>
        <w:rPr>
          <w:rFonts w:hint="eastAsia" w:ascii="仿宋" w:hAnsi="仿宋" w:eastAsia="仿宋"/>
          <w:sz w:val="32"/>
          <w:szCs w:val="32"/>
        </w:rPr>
        <w:t xml:space="preserve">  </w:t>
      </w:r>
      <w:r>
        <w:rPr>
          <w:rFonts w:hint="eastAsia" w:ascii="仿宋" w:hAnsi="仿宋" w:eastAsia="仿宋" w:cs="仿宋"/>
          <w:sz w:val="32"/>
          <w:szCs w:val="32"/>
        </w:rPr>
        <w:t>现货挂牌</w:t>
      </w:r>
      <w:r>
        <w:rPr>
          <w:rFonts w:hint="eastAsia" w:ascii="仿宋" w:hAnsi="仿宋" w:eastAsia="仿宋"/>
          <w:sz w:val="32"/>
          <w:szCs w:val="32"/>
        </w:rPr>
        <w:t>交易</w:t>
      </w:r>
      <w:r>
        <w:rPr>
          <w:rFonts w:hint="eastAsia" w:ascii="仿宋" w:hAnsi="仿宋" w:eastAsia="仿宋" w:cs="仿宋"/>
          <w:sz w:val="32"/>
          <w:szCs w:val="32"/>
        </w:rPr>
        <w:t>开市</w:t>
      </w:r>
      <w:r>
        <w:rPr>
          <w:rFonts w:hint="eastAsia" w:ascii="仿宋" w:hAnsi="仿宋" w:eastAsia="仿宋"/>
          <w:sz w:val="32"/>
          <w:szCs w:val="32"/>
        </w:rPr>
        <w:t>时间为全国法定工作日的9：00至19：00；如有调整，以交易中心另行发布的通知为准。</w:t>
      </w:r>
    </w:p>
    <w:p w14:paraId="43EBC309">
      <w:pPr>
        <w:spacing w:line="580" w:lineRule="atLeast"/>
        <w:ind w:firstLine="640" w:firstLineChars="200"/>
        <w:rPr>
          <w:rFonts w:hint="eastAsia" w:ascii="仿宋" w:hAnsi="仿宋" w:eastAsia="仿宋" w:cs="仿宋"/>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六</w:t>
      </w:r>
      <w:r>
        <w:rPr>
          <w:rFonts w:hint="eastAsia" w:ascii="黑体" w:hAnsi="黑体" w:eastAsia="黑体"/>
          <w:sz w:val="32"/>
          <w:szCs w:val="32"/>
        </w:rPr>
        <w:t>条</w:t>
      </w:r>
      <w:r>
        <w:rPr>
          <w:rFonts w:hint="eastAsia" w:ascii="仿宋" w:hAnsi="仿宋" w:eastAsia="仿宋"/>
          <w:sz w:val="32"/>
          <w:szCs w:val="32"/>
        </w:rPr>
        <w:t xml:space="preserve">  </w:t>
      </w:r>
      <w:r>
        <w:rPr>
          <w:rFonts w:hint="eastAsia" w:ascii="仿宋" w:hAnsi="仿宋" w:eastAsia="仿宋" w:cs="仿宋"/>
          <w:sz w:val="32"/>
          <w:szCs w:val="32"/>
        </w:rPr>
        <w:t>成交前，允许卖方就发布商品的价格、报价有效期进行变更。</w:t>
      </w:r>
    </w:p>
    <w:p w14:paraId="1A8C2999">
      <w:pPr>
        <w:spacing w:line="580" w:lineRule="atLeast"/>
        <w:ind w:firstLine="640" w:firstLineChars="200"/>
        <w:rPr>
          <w:rFonts w:hint="eastAsia"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七</w:t>
      </w:r>
      <w:r>
        <w:rPr>
          <w:rFonts w:hint="eastAsia" w:ascii="黑体" w:hAnsi="黑体" w:eastAsia="黑体"/>
          <w:sz w:val="32"/>
          <w:szCs w:val="32"/>
        </w:rPr>
        <w:t xml:space="preserve">条  </w:t>
      </w:r>
      <w:r>
        <w:rPr>
          <w:rFonts w:hint="eastAsia" w:ascii="仿宋" w:hAnsi="仿宋" w:eastAsia="仿宋"/>
          <w:sz w:val="32"/>
          <w:szCs w:val="32"/>
        </w:rPr>
        <w:t>卖方对发布报价信息的准确性负有法律责任。</w:t>
      </w:r>
    </w:p>
    <w:p w14:paraId="72FE3285">
      <w:pPr>
        <w:spacing w:line="580" w:lineRule="atLeast"/>
        <w:ind w:firstLine="640" w:firstLineChars="200"/>
        <w:rPr>
          <w:rFonts w:hint="eastAsia"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八</w:t>
      </w:r>
      <w:r>
        <w:rPr>
          <w:rFonts w:hint="eastAsia" w:ascii="黑体" w:hAnsi="黑体" w:eastAsia="黑体"/>
          <w:sz w:val="32"/>
          <w:szCs w:val="32"/>
        </w:rPr>
        <w:t xml:space="preserve">条  </w:t>
      </w:r>
      <w:r>
        <w:rPr>
          <w:rFonts w:hint="eastAsia" w:ascii="仿宋" w:hAnsi="仿宋" w:eastAsia="仿宋" w:cs="仿宋"/>
          <w:sz w:val="32"/>
          <w:szCs w:val="32"/>
        </w:rPr>
        <w:t>现货挂牌</w:t>
      </w:r>
      <w:r>
        <w:rPr>
          <w:rFonts w:hint="eastAsia" w:ascii="仿宋" w:hAnsi="仿宋" w:eastAsia="仿宋"/>
          <w:sz w:val="32"/>
          <w:szCs w:val="32"/>
        </w:rPr>
        <w:t>每次报价的最小变动单位为1元</w:t>
      </w:r>
      <w:r>
        <w:rPr>
          <w:rFonts w:ascii="仿宋" w:hAnsi="仿宋" w:eastAsia="仿宋"/>
          <w:sz w:val="32"/>
          <w:szCs w:val="32"/>
        </w:rPr>
        <w:t>/</w:t>
      </w:r>
      <w:r>
        <w:rPr>
          <w:rFonts w:hint="eastAsia" w:ascii="仿宋" w:hAnsi="仿宋" w:eastAsia="仿宋"/>
          <w:sz w:val="32"/>
          <w:szCs w:val="32"/>
        </w:rPr>
        <w:t>吨。</w:t>
      </w:r>
    </w:p>
    <w:p w14:paraId="0B9349B5">
      <w:pPr>
        <w:snapToGrid w:val="0"/>
        <w:spacing w:line="580" w:lineRule="atLeast"/>
        <w:ind w:firstLine="640" w:firstLineChars="200"/>
        <w:contextualSpacing/>
        <w:rPr>
          <w:rFonts w:hint="eastAsia"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九</w:t>
      </w:r>
      <w:r>
        <w:rPr>
          <w:rFonts w:hint="eastAsia" w:ascii="黑体" w:hAnsi="黑体" w:eastAsia="黑体"/>
          <w:sz w:val="32"/>
          <w:szCs w:val="32"/>
        </w:rPr>
        <w:t>条</w:t>
      </w:r>
      <w:r>
        <w:rPr>
          <w:rFonts w:hint="eastAsia" w:ascii="仿宋" w:hAnsi="仿宋" w:eastAsia="仿宋"/>
          <w:sz w:val="32"/>
          <w:szCs w:val="32"/>
        </w:rPr>
        <w:t xml:space="preserve">  </w:t>
      </w:r>
      <w:r>
        <w:rPr>
          <w:rFonts w:hint="eastAsia" w:ascii="仿宋" w:hAnsi="仿宋" w:eastAsia="仿宋" w:cs="仿宋"/>
          <w:sz w:val="32"/>
          <w:szCs w:val="32"/>
        </w:rPr>
        <w:t>现货挂牌</w:t>
      </w:r>
      <w:r>
        <w:rPr>
          <w:rFonts w:hint="eastAsia" w:ascii="仿宋" w:hAnsi="仿宋" w:eastAsia="仿宋"/>
          <w:sz w:val="32"/>
          <w:szCs w:val="32"/>
        </w:rPr>
        <w:t>成交后，由交易系统生成包括商品名称、质量、重量、交货地点、结算依据、货款收付方式、质量重量确认方式、纠纷处理等条款在内的电子合同。交易中心另行发布的相关办法（包括以“通知”形式发布的有关规定）均作为合同的组成部分，对与交易有关各方均有约束力。</w:t>
      </w:r>
    </w:p>
    <w:p w14:paraId="0A47174C">
      <w:pPr>
        <w:snapToGrid w:val="0"/>
        <w:spacing w:line="580" w:lineRule="atLeast"/>
        <w:ind w:firstLine="640" w:firstLineChars="200"/>
        <w:contextualSpacing/>
        <w:rPr>
          <w:rFonts w:hint="eastAsia" w:ascii="仿宋" w:hAnsi="仿宋" w:eastAsia="仿宋"/>
          <w:bCs/>
          <w:sz w:val="32"/>
          <w:szCs w:val="32"/>
        </w:rPr>
      </w:pPr>
      <w:r>
        <w:rPr>
          <w:rFonts w:hint="eastAsia" w:ascii="仿宋" w:hAnsi="仿宋" w:eastAsia="仿宋"/>
          <w:bCs/>
          <w:sz w:val="32"/>
          <w:szCs w:val="32"/>
        </w:rPr>
        <w:t>交易中心为本条所述合同的见证方，不承担任何合同责任义务。</w:t>
      </w:r>
    </w:p>
    <w:p w14:paraId="03318BAC">
      <w:pPr>
        <w:snapToGrid w:val="0"/>
        <w:spacing w:line="580" w:lineRule="atLeast"/>
        <w:ind w:firstLine="570"/>
        <w:contextualSpacing/>
        <w:rPr>
          <w:rFonts w:hint="eastAsia"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十</w:t>
      </w:r>
      <w:r>
        <w:rPr>
          <w:rFonts w:hint="eastAsia" w:ascii="黑体" w:hAnsi="黑体" w:eastAsia="黑体"/>
          <w:sz w:val="32"/>
          <w:szCs w:val="32"/>
        </w:rPr>
        <w:t xml:space="preserve">条  </w:t>
      </w:r>
      <w:r>
        <w:rPr>
          <w:rFonts w:hint="eastAsia" w:ascii="仿宋" w:hAnsi="仿宋" w:eastAsia="仿宋" w:cs="仿宋"/>
          <w:sz w:val="32"/>
          <w:szCs w:val="32"/>
        </w:rPr>
        <w:t>现货挂牌</w:t>
      </w:r>
      <w:r>
        <w:rPr>
          <w:rFonts w:hint="eastAsia" w:ascii="仿宋" w:hAnsi="仿宋" w:eastAsia="仿宋"/>
          <w:sz w:val="32"/>
          <w:szCs w:val="32"/>
        </w:rPr>
        <w:t>交易商品分类：</w:t>
      </w:r>
    </w:p>
    <w:p w14:paraId="2761D901">
      <w:pPr>
        <w:snapToGrid w:val="0"/>
        <w:spacing w:before="156" w:beforeLines="50" w:line="580" w:lineRule="atLeast"/>
        <w:ind w:firstLine="640" w:firstLineChars="200"/>
        <w:contextualSpacing/>
        <w:rPr>
          <w:rFonts w:hint="eastAsia" w:ascii="仿宋" w:hAnsi="仿宋" w:eastAsia="仿宋"/>
          <w:sz w:val="32"/>
          <w:szCs w:val="32"/>
        </w:rPr>
      </w:pPr>
      <w:r>
        <w:rPr>
          <w:rFonts w:hint="eastAsia" w:ascii="仿宋" w:hAnsi="仿宋" w:eastAsia="仿宋"/>
          <w:sz w:val="32"/>
          <w:szCs w:val="32"/>
        </w:rPr>
        <w:t>1、棉</w:t>
      </w:r>
      <w:r>
        <w:rPr>
          <w:rFonts w:hint="eastAsia" w:ascii="仿宋" w:hAnsi="仿宋" w:eastAsia="仿宋"/>
          <w:sz w:val="32"/>
          <w:szCs w:val="32"/>
          <w:lang w:val="en-US" w:eastAsia="zh-CN"/>
        </w:rPr>
        <w:t>花</w:t>
      </w:r>
      <w:r>
        <w:rPr>
          <w:rFonts w:hint="eastAsia" w:ascii="仿宋" w:hAnsi="仿宋" w:eastAsia="仿宋"/>
          <w:sz w:val="32"/>
          <w:szCs w:val="32"/>
        </w:rPr>
        <w:t>是指在中华人民共和国境内</w:t>
      </w:r>
      <w:r>
        <w:rPr>
          <w:rFonts w:hint="eastAsia" w:ascii="仿宋" w:hAnsi="仿宋" w:eastAsia="仿宋"/>
          <w:sz w:val="32"/>
          <w:szCs w:val="32"/>
          <w:lang w:val="en-US" w:eastAsia="zh-CN"/>
        </w:rPr>
        <w:t>由轧花企业加工形成</w:t>
      </w:r>
      <w:r>
        <w:rPr>
          <w:rFonts w:hint="eastAsia" w:ascii="仿宋" w:hAnsi="仿宋" w:eastAsia="仿宋"/>
          <w:sz w:val="32"/>
          <w:szCs w:val="32"/>
        </w:rPr>
        <w:t>的</w:t>
      </w:r>
      <w:r>
        <w:rPr>
          <w:rFonts w:hint="eastAsia" w:ascii="仿宋" w:hAnsi="仿宋" w:eastAsia="仿宋"/>
          <w:sz w:val="32"/>
          <w:szCs w:val="32"/>
          <w:lang w:val="en-US" w:eastAsia="zh-CN"/>
        </w:rPr>
        <w:t>皮</w:t>
      </w:r>
      <w:r>
        <w:rPr>
          <w:rFonts w:hint="eastAsia" w:ascii="仿宋" w:hAnsi="仿宋" w:eastAsia="仿宋"/>
          <w:sz w:val="32"/>
          <w:szCs w:val="32"/>
        </w:rPr>
        <w:t>棉，棉</w:t>
      </w:r>
      <w:r>
        <w:rPr>
          <w:rFonts w:hint="eastAsia" w:ascii="仿宋" w:hAnsi="仿宋" w:eastAsia="仿宋"/>
          <w:sz w:val="32"/>
          <w:szCs w:val="32"/>
          <w:lang w:val="en-US" w:eastAsia="zh-CN"/>
        </w:rPr>
        <w:t>花由</w:t>
      </w:r>
      <w:r>
        <w:rPr>
          <w:rFonts w:hint="eastAsia" w:ascii="仿宋" w:hAnsi="仿宋" w:eastAsia="仿宋"/>
          <w:sz w:val="32"/>
          <w:szCs w:val="32"/>
        </w:rPr>
        <w:t>中国纤维质量监测中心组织公证检验，</w:t>
      </w:r>
      <w:r>
        <w:rPr>
          <w:rFonts w:hint="eastAsia" w:ascii="仿宋" w:hAnsi="仿宋" w:eastAsia="仿宋"/>
          <w:sz w:val="32"/>
          <w:szCs w:val="32"/>
          <w:lang w:val="en-US" w:eastAsia="zh-CN"/>
        </w:rPr>
        <w:t>并</w:t>
      </w:r>
      <w:r>
        <w:rPr>
          <w:rFonts w:hint="eastAsia" w:ascii="仿宋" w:hAnsi="仿宋" w:eastAsia="仿宋"/>
          <w:sz w:val="32"/>
          <w:szCs w:val="32"/>
        </w:rPr>
        <w:t>按公检证书确认质量重量。</w:t>
      </w:r>
    </w:p>
    <w:p w14:paraId="7DD24BB7">
      <w:pPr>
        <w:snapToGrid w:val="0"/>
        <w:spacing w:line="580" w:lineRule="atLeast"/>
        <w:ind w:firstLine="570"/>
        <w:contextualSpacing/>
        <w:rPr>
          <w:rFonts w:hint="eastAsia" w:ascii="仿宋" w:hAnsi="仿宋" w:eastAsia="仿宋"/>
          <w:sz w:val="32"/>
          <w:szCs w:val="32"/>
        </w:rPr>
      </w:pPr>
      <w:r>
        <w:rPr>
          <w:rFonts w:hint="eastAsia" w:ascii="仿宋" w:hAnsi="仿宋" w:eastAsia="仿宋"/>
          <w:sz w:val="32"/>
          <w:szCs w:val="32"/>
        </w:rPr>
        <w:t>2、棉纱是指在中华人民共和国境内生产的</w:t>
      </w:r>
      <w:r>
        <w:rPr>
          <w:rFonts w:hint="eastAsia" w:ascii="仿宋" w:hAnsi="仿宋" w:eastAsia="仿宋"/>
          <w:sz w:val="32"/>
          <w:szCs w:val="32"/>
          <w:lang w:val="en-US" w:eastAsia="zh-CN"/>
        </w:rPr>
        <w:t>纯</w:t>
      </w:r>
      <w:r>
        <w:rPr>
          <w:rFonts w:hint="eastAsia" w:ascii="仿宋" w:hAnsi="仿宋" w:eastAsia="仿宋"/>
          <w:sz w:val="32"/>
          <w:szCs w:val="32"/>
        </w:rPr>
        <w:t>棉纱</w:t>
      </w:r>
      <w:r>
        <w:rPr>
          <w:rFonts w:hint="eastAsia" w:ascii="仿宋" w:hAnsi="仿宋" w:eastAsia="仿宋"/>
          <w:sz w:val="32"/>
          <w:szCs w:val="32"/>
          <w:lang w:val="en-US" w:eastAsia="zh-CN"/>
        </w:rPr>
        <w:t>线</w:t>
      </w:r>
      <w:r>
        <w:rPr>
          <w:rFonts w:hint="eastAsia" w:ascii="仿宋" w:hAnsi="仿宋" w:eastAsia="仿宋"/>
          <w:sz w:val="32"/>
          <w:szCs w:val="32"/>
        </w:rPr>
        <w:t>，棉纱由生产企业出具质量重量相关材料，卖方对相关质量重量负责。</w:t>
      </w:r>
    </w:p>
    <w:p w14:paraId="0D616210">
      <w:pPr>
        <w:snapToGrid w:val="0"/>
        <w:spacing w:line="580" w:lineRule="atLeast"/>
        <w:ind w:firstLine="570"/>
        <w:contextualSpacing/>
        <w:rPr>
          <w:rFonts w:hint="eastAsia" w:ascii="仿宋" w:hAnsi="仿宋" w:eastAsia="仿宋"/>
          <w:sz w:val="32"/>
          <w:szCs w:val="32"/>
        </w:rPr>
      </w:pPr>
      <w:r>
        <w:rPr>
          <w:rFonts w:hint="eastAsia" w:ascii="仿宋" w:hAnsi="仿宋" w:eastAsia="仿宋" w:cs="仿宋"/>
          <w:sz w:val="32"/>
          <w:szCs w:val="32"/>
        </w:rPr>
        <w:t>提交</w:t>
      </w:r>
      <w:r>
        <w:rPr>
          <w:rFonts w:hint="eastAsia" w:ascii="仿宋" w:hAnsi="仿宋" w:eastAsia="仿宋" w:cs="仿宋"/>
          <w:sz w:val="32"/>
          <w:szCs w:val="32"/>
          <w:lang w:val="en-US" w:eastAsia="zh-CN"/>
        </w:rPr>
        <w:t>现货</w:t>
      </w:r>
      <w:r>
        <w:rPr>
          <w:rFonts w:hint="eastAsia" w:ascii="仿宋" w:hAnsi="仿宋" w:eastAsia="仿宋"/>
          <w:sz w:val="32"/>
          <w:szCs w:val="32"/>
        </w:rPr>
        <w:t>挂牌</w:t>
      </w:r>
      <w:r>
        <w:rPr>
          <w:rFonts w:hint="eastAsia" w:ascii="仿宋" w:hAnsi="仿宋" w:eastAsia="仿宋"/>
          <w:sz w:val="32"/>
          <w:szCs w:val="32"/>
          <w:lang w:val="en-US" w:eastAsia="zh-CN"/>
        </w:rPr>
        <w:t>交易</w:t>
      </w:r>
      <w:r>
        <w:rPr>
          <w:rFonts w:hint="eastAsia" w:ascii="仿宋" w:hAnsi="仿宋" w:eastAsia="仿宋" w:cs="仿宋"/>
          <w:sz w:val="32"/>
          <w:szCs w:val="32"/>
        </w:rPr>
        <w:t>资源时</w:t>
      </w:r>
      <w:r>
        <w:rPr>
          <w:rFonts w:hint="eastAsia" w:ascii="仿宋" w:hAnsi="仿宋" w:eastAsia="仿宋"/>
          <w:sz w:val="32"/>
          <w:szCs w:val="32"/>
        </w:rPr>
        <w:t>，卖方须描述拟用于交割商品的产地、生产企业、交货地点、质量重量等信息，供买方自主选择。</w:t>
      </w:r>
    </w:p>
    <w:bookmarkEnd w:id="6"/>
    <w:bookmarkEnd w:id="7"/>
    <w:p w14:paraId="1BF0C018">
      <w:pPr>
        <w:snapToGrid w:val="0"/>
        <w:spacing w:line="580" w:lineRule="atLeast"/>
        <w:ind w:firstLine="640" w:firstLineChars="200"/>
        <w:contextualSpacing/>
        <w:rPr>
          <w:rFonts w:hint="eastAsia" w:ascii="仿宋" w:hAnsi="仿宋" w:eastAsia="仿宋"/>
          <w:sz w:val="32"/>
          <w:szCs w:val="32"/>
        </w:rPr>
      </w:pPr>
      <w:r>
        <w:rPr>
          <w:rFonts w:hint="eastAsia" w:ascii="黑体" w:hAnsi="黑体" w:eastAsia="黑体"/>
          <w:sz w:val="32"/>
          <w:szCs w:val="32"/>
        </w:rPr>
        <w:t>第十</w:t>
      </w:r>
      <w:r>
        <w:rPr>
          <w:rFonts w:hint="eastAsia" w:ascii="黑体" w:hAnsi="黑体" w:eastAsia="黑体"/>
          <w:sz w:val="32"/>
          <w:szCs w:val="32"/>
          <w:lang w:val="en-US" w:eastAsia="zh-CN"/>
        </w:rPr>
        <w:t>一</w:t>
      </w:r>
      <w:r>
        <w:rPr>
          <w:rFonts w:hint="eastAsia" w:ascii="黑体" w:hAnsi="黑体" w:eastAsia="黑体"/>
          <w:sz w:val="32"/>
          <w:szCs w:val="32"/>
        </w:rPr>
        <w:t>条</w:t>
      </w:r>
      <w:r>
        <w:rPr>
          <w:rFonts w:hint="eastAsia" w:ascii="仿宋" w:hAnsi="仿宋" w:eastAsia="仿宋"/>
          <w:sz w:val="32"/>
          <w:szCs w:val="32"/>
        </w:rPr>
        <w:t xml:space="preserve">  </w:t>
      </w:r>
      <w:r>
        <w:rPr>
          <w:rFonts w:hint="eastAsia" w:ascii="仿宋" w:hAnsi="仿宋" w:eastAsia="仿宋" w:cs="仿宋"/>
          <w:sz w:val="32"/>
          <w:szCs w:val="32"/>
        </w:rPr>
        <w:t>现货挂牌</w:t>
      </w:r>
      <w:r>
        <w:rPr>
          <w:rFonts w:hint="eastAsia" w:ascii="仿宋" w:hAnsi="仿宋" w:eastAsia="仿宋"/>
          <w:sz w:val="32"/>
          <w:szCs w:val="32"/>
        </w:rPr>
        <w:t>交易流程：</w:t>
      </w:r>
    </w:p>
    <w:p w14:paraId="656092D6">
      <w:pPr>
        <w:snapToGrid w:val="0"/>
        <w:spacing w:line="580" w:lineRule="atLeast"/>
        <w:ind w:firstLine="600"/>
        <w:contextualSpacing/>
        <w:rPr>
          <w:rFonts w:hint="eastAsia" w:ascii="仿宋" w:hAnsi="仿宋" w:eastAsia="仿宋"/>
          <w:sz w:val="32"/>
          <w:szCs w:val="32"/>
        </w:rPr>
      </w:pPr>
      <w:r>
        <w:rPr>
          <w:rFonts w:hint="eastAsia" w:ascii="仿宋" w:hAnsi="仿宋" w:eastAsia="仿宋"/>
          <w:sz w:val="32"/>
          <w:szCs w:val="32"/>
        </w:rPr>
        <w:t>（一）登录交易系统，确认遵守本办法及交易中心发布的有关规定。</w:t>
      </w:r>
    </w:p>
    <w:p w14:paraId="4EB43082">
      <w:pPr>
        <w:snapToGrid w:val="0"/>
        <w:spacing w:line="580" w:lineRule="atLeast"/>
        <w:ind w:firstLine="640" w:firstLineChars="200"/>
        <w:contextualSpacing/>
        <w:rPr>
          <w:rFonts w:hint="eastAsia" w:ascii="仿宋" w:hAnsi="仿宋" w:eastAsia="仿宋"/>
          <w:sz w:val="32"/>
          <w:szCs w:val="32"/>
        </w:rPr>
      </w:pPr>
      <w:r>
        <w:rPr>
          <w:rFonts w:hint="eastAsia" w:ascii="仿宋" w:hAnsi="仿宋" w:eastAsia="仿宋"/>
          <w:sz w:val="32"/>
          <w:szCs w:val="32"/>
        </w:rPr>
        <w:t>（二）通过交易系统挂牌展示商品或采购需求，并公布卖出或买入报价、重量、包装、加工方式、质量约定、报价有效期。报价有效期以“日”为单位，最长不超过15个自然日。</w:t>
      </w:r>
    </w:p>
    <w:p w14:paraId="0136DE40">
      <w:pPr>
        <w:snapToGrid w:val="0"/>
        <w:spacing w:line="580" w:lineRule="atLeast"/>
        <w:ind w:firstLine="600"/>
        <w:contextualSpacing/>
        <w:rPr>
          <w:rFonts w:hint="eastAsia" w:ascii="仿宋" w:hAnsi="仿宋" w:eastAsia="仿宋"/>
          <w:sz w:val="32"/>
          <w:szCs w:val="32"/>
        </w:rPr>
      </w:pPr>
      <w:r>
        <w:rPr>
          <w:rFonts w:hint="eastAsia" w:ascii="仿宋" w:hAnsi="仿宋" w:eastAsia="仿宋"/>
          <w:sz w:val="32"/>
          <w:szCs w:val="32"/>
        </w:rPr>
        <w:t>（三）买方可对挂牌展示的商品信息提交报价，或直接确认价格成交。</w:t>
      </w:r>
    </w:p>
    <w:p w14:paraId="3D2D8117">
      <w:pPr>
        <w:snapToGrid w:val="0"/>
        <w:spacing w:line="580" w:lineRule="atLeast"/>
        <w:ind w:firstLine="600"/>
        <w:contextualSpacing/>
        <w:rPr>
          <w:rFonts w:hint="eastAsia" w:ascii="仿宋" w:hAnsi="仿宋" w:eastAsia="仿宋"/>
          <w:sz w:val="32"/>
          <w:szCs w:val="32"/>
        </w:rPr>
      </w:pPr>
      <w:r>
        <w:rPr>
          <w:rFonts w:hint="eastAsia" w:ascii="仿宋" w:hAnsi="仿宋" w:eastAsia="仿宋"/>
          <w:sz w:val="32"/>
          <w:szCs w:val="32"/>
        </w:rPr>
        <w:t>（四）买方提交报价后，卖方可以确认价格成交，或修改</w:t>
      </w:r>
      <w:r>
        <w:rPr>
          <w:rFonts w:hint="eastAsia" w:ascii="仿宋" w:hAnsi="仿宋" w:eastAsia="仿宋"/>
          <w:sz w:val="32"/>
          <w:szCs w:val="32"/>
          <w:lang w:val="en-US" w:eastAsia="zh-CN"/>
        </w:rPr>
        <w:t>卖方</w:t>
      </w:r>
      <w:r>
        <w:rPr>
          <w:rFonts w:hint="eastAsia" w:ascii="仿宋" w:hAnsi="仿宋" w:eastAsia="仿宋"/>
          <w:sz w:val="32"/>
          <w:szCs w:val="32"/>
        </w:rPr>
        <w:t>报价。</w:t>
      </w:r>
    </w:p>
    <w:p w14:paraId="12A5AE10">
      <w:pPr>
        <w:snapToGrid w:val="0"/>
        <w:spacing w:line="580" w:lineRule="atLeast"/>
        <w:ind w:firstLine="600"/>
        <w:contextualSpacing/>
        <w:rPr>
          <w:rFonts w:hint="eastAsia" w:ascii="仿宋" w:hAnsi="仿宋" w:eastAsia="仿宋"/>
          <w:sz w:val="32"/>
          <w:szCs w:val="32"/>
        </w:rPr>
      </w:pPr>
      <w:r>
        <w:rPr>
          <w:rFonts w:hint="eastAsia" w:ascii="仿宋" w:hAnsi="仿宋" w:eastAsia="仿宋"/>
          <w:sz w:val="32"/>
          <w:szCs w:val="32"/>
        </w:rPr>
        <w:t>（五）买卖双方对商品价格达成一致，且双方保证金充足时，系统自动成交。</w:t>
      </w:r>
    </w:p>
    <w:p w14:paraId="3EDA60DC">
      <w:pPr>
        <w:snapToGrid w:val="0"/>
        <w:spacing w:line="580" w:lineRule="atLeast"/>
        <w:ind w:firstLine="600"/>
        <w:contextualSpacing/>
        <w:rPr>
          <w:rFonts w:hint="eastAsia" w:ascii="仿宋" w:hAnsi="仿宋" w:eastAsia="仿宋"/>
          <w:sz w:val="32"/>
          <w:szCs w:val="32"/>
        </w:rPr>
      </w:pPr>
      <w:r>
        <w:rPr>
          <w:rFonts w:hint="eastAsia" w:ascii="仿宋" w:hAnsi="仿宋" w:eastAsia="仿宋"/>
          <w:sz w:val="32"/>
          <w:szCs w:val="32"/>
        </w:rPr>
        <w:t>（六）成交后，电子合同由交易中心</w:t>
      </w:r>
      <w:r>
        <w:rPr>
          <w:rFonts w:hint="eastAsia" w:ascii="仿宋" w:hAnsi="仿宋" w:eastAsia="仿宋"/>
          <w:sz w:val="32"/>
          <w:szCs w:val="32"/>
          <w:lang w:val="en-US" w:eastAsia="zh-CN"/>
        </w:rPr>
        <w:t>于当日</w:t>
      </w:r>
      <w:r>
        <w:rPr>
          <w:rFonts w:hint="eastAsia" w:ascii="仿宋" w:hAnsi="仿宋" w:eastAsia="仿宋"/>
          <w:sz w:val="32"/>
          <w:szCs w:val="32"/>
        </w:rPr>
        <w:t>闭市后自动生成。</w:t>
      </w:r>
    </w:p>
    <w:p w14:paraId="72208AAF">
      <w:pPr>
        <w:snapToGrid w:val="0"/>
        <w:spacing w:line="580" w:lineRule="atLeast"/>
        <w:ind w:firstLine="640" w:firstLineChars="200"/>
        <w:contextualSpacing/>
        <w:rPr>
          <w:rFonts w:hint="eastAsia" w:ascii="仿宋" w:hAnsi="仿宋" w:eastAsia="仿宋"/>
          <w:sz w:val="32"/>
          <w:szCs w:val="32"/>
        </w:rPr>
      </w:pPr>
      <w:r>
        <w:rPr>
          <w:rFonts w:hint="eastAsia" w:ascii="仿宋" w:hAnsi="仿宋" w:eastAsia="仿宋"/>
          <w:sz w:val="32"/>
          <w:szCs w:val="32"/>
        </w:rPr>
        <w:t>（七）电子合同生成后，买卖双方须在</w:t>
      </w:r>
      <w:r>
        <w:rPr>
          <w:rFonts w:hint="eastAsia" w:ascii="仿宋" w:hAnsi="仿宋" w:eastAsia="仿宋"/>
          <w:sz w:val="32"/>
          <w:szCs w:val="32"/>
          <w:lang w:val="en-US" w:eastAsia="zh-CN"/>
        </w:rPr>
        <w:t>成交后</w:t>
      </w:r>
      <w:r>
        <w:rPr>
          <w:rFonts w:hint="eastAsia" w:ascii="仿宋" w:hAnsi="仿宋" w:eastAsia="仿宋"/>
          <w:sz w:val="32"/>
          <w:szCs w:val="32"/>
        </w:rPr>
        <w:t>2个工作日内（含）签订合同并加盖电子印章，经交易中心见证后办理货款流转及交割等手续。</w:t>
      </w:r>
    </w:p>
    <w:p w14:paraId="0B0C6BBA">
      <w:pPr>
        <w:snapToGrid w:val="0"/>
        <w:spacing w:line="580" w:lineRule="atLeast"/>
        <w:ind w:firstLine="600"/>
        <w:contextualSpacing/>
        <w:rPr>
          <w:rFonts w:hint="eastAsia" w:ascii="仿宋" w:hAnsi="仿宋" w:eastAsia="仿宋"/>
          <w:sz w:val="32"/>
          <w:szCs w:val="32"/>
          <w:highlight w:val="none"/>
        </w:rPr>
      </w:pPr>
      <w:r>
        <w:rPr>
          <w:rFonts w:hint="eastAsia" w:ascii="仿宋" w:hAnsi="仿宋" w:eastAsia="仿宋"/>
          <w:sz w:val="32"/>
          <w:szCs w:val="32"/>
          <w:highlight w:val="none"/>
        </w:rPr>
        <w:t>（八）未成交前，卖方可随时调整或撤销未成交的挂牌商品，买方也可随时调整或撤销任何未成交的报价。</w:t>
      </w:r>
    </w:p>
    <w:p w14:paraId="0BDD9F87">
      <w:pPr>
        <w:pStyle w:val="4"/>
        <w:spacing w:line="580" w:lineRule="atLeast"/>
        <w:ind w:left="0" w:firstLine="608" w:firstLineChars="190"/>
        <w:contextualSpacing/>
        <w:rPr>
          <w:rFonts w:hint="eastAsia" w:ascii="仿宋" w:hAnsi="仿宋" w:eastAsia="仿宋"/>
          <w:b w:val="0"/>
          <w:sz w:val="32"/>
          <w:szCs w:val="32"/>
        </w:rPr>
      </w:pPr>
      <w:r>
        <w:rPr>
          <w:rFonts w:hint="eastAsia" w:ascii="仿宋" w:hAnsi="仿宋" w:eastAsia="仿宋"/>
          <w:b w:val="0"/>
          <w:sz w:val="32"/>
          <w:szCs w:val="32"/>
        </w:rPr>
        <w:t>（九）为维护买卖双方的利益，交易系统自动对超过有效期的商品/报价作失效处理。</w:t>
      </w:r>
    </w:p>
    <w:p w14:paraId="547F8CB3">
      <w:pPr>
        <w:snapToGrid w:val="0"/>
        <w:spacing w:line="580" w:lineRule="atLeast"/>
        <w:ind w:firstLine="612"/>
        <w:contextualSpacing/>
        <w:rPr>
          <w:rFonts w:hint="eastAsia" w:ascii="仿宋" w:hAnsi="仿宋" w:eastAsia="仿宋"/>
          <w:sz w:val="32"/>
          <w:szCs w:val="32"/>
        </w:rPr>
      </w:pPr>
      <w:r>
        <w:rPr>
          <w:rFonts w:hint="eastAsia" w:ascii="黑体" w:hAnsi="黑体" w:eastAsia="黑体"/>
          <w:sz w:val="32"/>
          <w:szCs w:val="32"/>
        </w:rPr>
        <w:t>第十</w:t>
      </w:r>
      <w:r>
        <w:rPr>
          <w:rFonts w:hint="eastAsia" w:ascii="黑体" w:hAnsi="黑体" w:eastAsia="黑体"/>
          <w:sz w:val="32"/>
          <w:szCs w:val="32"/>
          <w:lang w:val="en-US" w:eastAsia="zh-CN"/>
        </w:rPr>
        <w:t>二</w:t>
      </w:r>
      <w:r>
        <w:rPr>
          <w:rFonts w:hint="eastAsia" w:ascii="黑体" w:hAnsi="黑体" w:eastAsia="黑体"/>
          <w:sz w:val="32"/>
          <w:szCs w:val="32"/>
        </w:rPr>
        <w:t>条</w:t>
      </w:r>
      <w:r>
        <w:rPr>
          <w:rFonts w:hint="eastAsia" w:ascii="仿宋" w:hAnsi="仿宋" w:eastAsia="仿宋"/>
          <w:sz w:val="32"/>
          <w:szCs w:val="32"/>
        </w:rPr>
        <w:t xml:space="preserve">  买卖双方通过交易系统成交后，无论是否已通过交易系统为电子合同加盖电子印章，均视为对应电子合同生效；双方应按照本办法或交易中心发布的其他相关办法要求，完成商品后续的货款流转及交割手续。</w:t>
      </w:r>
    </w:p>
    <w:p w14:paraId="1D17AA8F">
      <w:pPr>
        <w:snapToGrid w:val="0"/>
        <w:spacing w:line="580" w:lineRule="atLeast"/>
        <w:ind w:firstLine="612"/>
        <w:contextualSpacing/>
        <w:rPr>
          <w:rFonts w:hint="eastAsia" w:ascii="仿宋" w:hAnsi="仿宋" w:eastAsia="仿宋"/>
          <w:sz w:val="32"/>
          <w:szCs w:val="32"/>
        </w:rPr>
      </w:pPr>
    </w:p>
    <w:p w14:paraId="0951A3BB">
      <w:pPr>
        <w:pStyle w:val="10"/>
        <w:snapToGrid w:val="0"/>
        <w:spacing w:line="580" w:lineRule="atLeast"/>
        <w:ind w:firstLine="0" w:firstLineChars="0"/>
        <w:contextualSpacing/>
        <w:jc w:val="center"/>
        <w:rPr>
          <w:rFonts w:hint="eastAsia" w:ascii="黑体" w:hAnsi="黑体" w:eastAsia="黑体"/>
          <w:sz w:val="32"/>
          <w:szCs w:val="32"/>
        </w:rPr>
      </w:pPr>
      <w:bookmarkStart w:id="8" w:name="_Toc385256292"/>
      <w:r>
        <w:rPr>
          <w:rFonts w:hint="eastAsia" w:ascii="黑体" w:hAnsi="黑体" w:eastAsia="黑体"/>
          <w:sz w:val="32"/>
          <w:szCs w:val="32"/>
        </w:rPr>
        <w:t>第三章  保证金</w:t>
      </w:r>
      <w:bookmarkEnd w:id="8"/>
    </w:p>
    <w:p w14:paraId="34C47C8F">
      <w:pPr>
        <w:snapToGrid w:val="0"/>
        <w:spacing w:line="580" w:lineRule="atLeast"/>
        <w:ind w:firstLine="570"/>
        <w:contextualSpacing/>
        <w:rPr>
          <w:rFonts w:hint="eastAsia" w:ascii="仿宋" w:hAnsi="仿宋" w:eastAsia="仿宋"/>
          <w:sz w:val="32"/>
          <w:szCs w:val="32"/>
          <w:highlight w:val="none"/>
        </w:rPr>
      </w:pPr>
      <w:r>
        <w:rPr>
          <w:rFonts w:hint="eastAsia" w:ascii="黑体" w:hAnsi="黑体" w:eastAsia="黑体"/>
          <w:sz w:val="32"/>
          <w:szCs w:val="32"/>
          <w:highlight w:val="none"/>
        </w:rPr>
        <w:t>第十</w:t>
      </w:r>
      <w:r>
        <w:rPr>
          <w:rFonts w:hint="eastAsia" w:ascii="黑体" w:hAnsi="黑体" w:eastAsia="黑体"/>
          <w:sz w:val="32"/>
          <w:szCs w:val="32"/>
          <w:highlight w:val="none"/>
          <w:lang w:val="en-US" w:eastAsia="zh-CN"/>
        </w:rPr>
        <w:t>三</w:t>
      </w:r>
      <w:r>
        <w:rPr>
          <w:rFonts w:hint="eastAsia" w:ascii="黑体" w:hAnsi="黑体" w:eastAsia="黑体"/>
          <w:sz w:val="32"/>
          <w:szCs w:val="32"/>
          <w:highlight w:val="none"/>
        </w:rPr>
        <w:t>条</w:t>
      </w:r>
      <w:r>
        <w:rPr>
          <w:rFonts w:hint="eastAsia" w:ascii="仿宋" w:hAnsi="仿宋" w:eastAsia="仿宋"/>
          <w:sz w:val="32"/>
          <w:szCs w:val="32"/>
          <w:highlight w:val="none"/>
        </w:rPr>
        <w:t xml:space="preserve">  卖方挂牌商品，或买方对商品报价时，交易中心</w:t>
      </w:r>
      <w:r>
        <w:rPr>
          <w:rFonts w:hint="eastAsia" w:ascii="仿宋" w:hAnsi="仿宋" w:eastAsia="仿宋"/>
          <w:sz w:val="32"/>
          <w:szCs w:val="32"/>
          <w:highlight w:val="none"/>
          <w:lang w:val="en-US" w:eastAsia="zh-CN"/>
        </w:rPr>
        <w:t>暂时</w:t>
      </w:r>
      <w:r>
        <w:rPr>
          <w:rFonts w:hint="eastAsia" w:ascii="仿宋" w:hAnsi="仿宋" w:eastAsia="仿宋"/>
          <w:sz w:val="32"/>
          <w:szCs w:val="32"/>
          <w:highlight w:val="none"/>
        </w:rPr>
        <w:t>冻结履约保证金；成交后，交易中心暂扣履约保证金。卖方挂牌商品如已生成</w:t>
      </w:r>
      <w:r>
        <w:rPr>
          <w:rFonts w:hint="eastAsia" w:ascii="仿宋" w:hAnsi="仿宋" w:eastAsia="仿宋"/>
          <w:sz w:val="32"/>
          <w:szCs w:val="32"/>
          <w:highlight w:val="none"/>
          <w:lang w:val="en-US" w:eastAsia="zh-CN"/>
        </w:rPr>
        <w:t>全国棉花交易市场</w:t>
      </w:r>
      <w:r>
        <w:rPr>
          <w:rFonts w:hint="eastAsia" w:ascii="仿宋" w:hAnsi="仿宋" w:eastAsia="仿宋"/>
          <w:sz w:val="32"/>
          <w:szCs w:val="32"/>
          <w:highlight w:val="none"/>
        </w:rPr>
        <w:t>仓单，则</w:t>
      </w:r>
      <w:r>
        <w:rPr>
          <w:rFonts w:hint="eastAsia" w:ascii="仿宋" w:hAnsi="仿宋" w:eastAsia="仿宋"/>
          <w:sz w:val="32"/>
          <w:szCs w:val="32"/>
          <w:highlight w:val="none"/>
          <w:lang w:val="en-US" w:eastAsia="zh-CN"/>
        </w:rPr>
        <w:t>交易中心通过</w:t>
      </w:r>
      <w:r>
        <w:rPr>
          <w:rFonts w:hint="eastAsia" w:ascii="仿宋" w:hAnsi="仿宋" w:eastAsia="仿宋"/>
          <w:sz w:val="32"/>
          <w:szCs w:val="32"/>
          <w:highlight w:val="none"/>
        </w:rPr>
        <w:t>冻结仓单</w:t>
      </w:r>
      <w:r>
        <w:rPr>
          <w:rFonts w:hint="eastAsia" w:ascii="仿宋" w:hAnsi="仿宋" w:eastAsia="仿宋"/>
          <w:sz w:val="32"/>
          <w:szCs w:val="32"/>
          <w:highlight w:val="none"/>
          <w:lang w:val="en-US" w:eastAsia="zh-CN"/>
        </w:rPr>
        <w:t>方式作为卖方</w:t>
      </w:r>
      <w:r>
        <w:rPr>
          <w:rFonts w:hint="eastAsia" w:ascii="仿宋" w:hAnsi="仿宋" w:eastAsia="仿宋"/>
          <w:sz w:val="32"/>
          <w:szCs w:val="32"/>
          <w:highlight w:val="none"/>
        </w:rPr>
        <w:t>履约保障，仓单冻结时</w:t>
      </w:r>
      <w:r>
        <w:rPr>
          <w:rFonts w:hint="eastAsia" w:ascii="仿宋" w:hAnsi="仿宋" w:eastAsia="仿宋"/>
          <w:sz w:val="32"/>
          <w:szCs w:val="32"/>
          <w:highlight w:val="none"/>
          <w:lang w:eastAsia="zh-CN"/>
        </w:rPr>
        <w:t>，</w:t>
      </w:r>
      <w:r>
        <w:rPr>
          <w:rFonts w:hint="eastAsia" w:ascii="仿宋" w:hAnsi="仿宋" w:eastAsia="仿宋"/>
          <w:sz w:val="32"/>
          <w:szCs w:val="32"/>
          <w:highlight w:val="none"/>
        </w:rPr>
        <w:t>将对</w:t>
      </w:r>
      <w:r>
        <w:rPr>
          <w:rFonts w:hint="eastAsia" w:ascii="仿宋" w:hAnsi="仿宋" w:eastAsia="仿宋"/>
          <w:sz w:val="32"/>
          <w:szCs w:val="32"/>
          <w:highlight w:val="none"/>
          <w:lang w:val="en-US" w:eastAsia="zh-CN"/>
        </w:rPr>
        <w:t>有关仓单</w:t>
      </w:r>
      <w:r>
        <w:rPr>
          <w:rFonts w:hint="eastAsia" w:ascii="仿宋" w:hAnsi="仿宋" w:eastAsia="仿宋"/>
          <w:sz w:val="32"/>
          <w:szCs w:val="32"/>
          <w:highlight w:val="none"/>
        </w:rPr>
        <w:t>采取限制流转措施，不得办理其他交易、融资、移库及出库等业务。</w:t>
      </w:r>
    </w:p>
    <w:p w14:paraId="7E385C14">
      <w:pPr>
        <w:snapToGrid w:val="0"/>
        <w:spacing w:line="580" w:lineRule="atLeast"/>
        <w:ind w:firstLine="640" w:firstLineChars="200"/>
        <w:contextualSpacing/>
        <w:rPr>
          <w:rFonts w:hint="eastAsia" w:ascii="仿宋" w:hAnsi="仿宋" w:eastAsia="仿宋"/>
          <w:sz w:val="32"/>
          <w:szCs w:val="32"/>
        </w:rPr>
      </w:pPr>
      <w:r>
        <w:rPr>
          <w:rFonts w:hint="eastAsia" w:ascii="黑体" w:hAnsi="黑体" w:eastAsia="黑体"/>
          <w:sz w:val="32"/>
          <w:szCs w:val="32"/>
        </w:rPr>
        <w:t>第十</w:t>
      </w:r>
      <w:r>
        <w:rPr>
          <w:rFonts w:hint="eastAsia" w:ascii="黑体" w:hAnsi="黑体" w:eastAsia="黑体"/>
          <w:sz w:val="32"/>
          <w:szCs w:val="32"/>
          <w:lang w:val="en-US" w:eastAsia="zh-CN"/>
        </w:rPr>
        <w:t>四</w:t>
      </w:r>
      <w:r>
        <w:rPr>
          <w:rFonts w:hint="eastAsia" w:ascii="黑体" w:hAnsi="黑体" w:eastAsia="黑体"/>
          <w:sz w:val="32"/>
          <w:szCs w:val="32"/>
        </w:rPr>
        <w:t>条</w:t>
      </w:r>
      <w:r>
        <w:rPr>
          <w:rFonts w:hint="eastAsia" w:ascii="仿宋" w:hAnsi="仿宋" w:eastAsia="仿宋"/>
          <w:sz w:val="32"/>
          <w:szCs w:val="32"/>
        </w:rPr>
        <w:t xml:space="preserve">  </w:t>
      </w:r>
      <w:r>
        <w:rPr>
          <w:rFonts w:hint="eastAsia" w:ascii="仿宋" w:hAnsi="仿宋" w:eastAsia="仿宋" w:cs="仿宋"/>
          <w:sz w:val="32"/>
          <w:szCs w:val="32"/>
        </w:rPr>
        <w:t>现货挂牌</w:t>
      </w:r>
      <w:r>
        <w:rPr>
          <w:rFonts w:hint="eastAsia" w:ascii="仿宋" w:hAnsi="仿宋" w:eastAsia="仿宋"/>
          <w:sz w:val="32"/>
          <w:szCs w:val="32"/>
        </w:rPr>
        <w:t>的保证金管理按《中国棉花棉纱交易中心保证金管理办法》有关规定执行，具体标准以交易中心另行发布的公告为准。</w:t>
      </w:r>
    </w:p>
    <w:p w14:paraId="7F23A85F">
      <w:pPr>
        <w:snapToGrid w:val="0"/>
        <w:spacing w:line="580" w:lineRule="atLeast"/>
        <w:contextualSpacing/>
        <w:rPr>
          <w:rFonts w:hint="eastAsia" w:ascii="黑体" w:hAnsi="黑体" w:eastAsia="黑体"/>
          <w:sz w:val="32"/>
          <w:szCs w:val="32"/>
        </w:rPr>
      </w:pPr>
    </w:p>
    <w:p w14:paraId="467FB63F">
      <w:pPr>
        <w:pStyle w:val="10"/>
        <w:snapToGrid w:val="0"/>
        <w:spacing w:line="580" w:lineRule="atLeast"/>
        <w:ind w:firstLine="0" w:firstLineChars="0"/>
        <w:contextualSpacing/>
        <w:jc w:val="center"/>
        <w:rPr>
          <w:rFonts w:hint="eastAsia" w:ascii="黑体" w:hAnsi="黑体" w:eastAsia="黑体"/>
          <w:sz w:val="32"/>
          <w:szCs w:val="32"/>
        </w:rPr>
      </w:pPr>
      <w:bookmarkStart w:id="9" w:name="_Toc385256293"/>
      <w:r>
        <w:rPr>
          <w:rFonts w:hint="eastAsia" w:ascii="黑体" w:hAnsi="黑体" w:eastAsia="黑体"/>
          <w:sz w:val="32"/>
          <w:szCs w:val="32"/>
        </w:rPr>
        <w:t xml:space="preserve">第四章  </w:t>
      </w:r>
      <w:bookmarkEnd w:id="9"/>
      <w:r>
        <w:rPr>
          <w:rFonts w:hint="eastAsia" w:ascii="黑体" w:hAnsi="黑体" w:eastAsia="黑体"/>
          <w:sz w:val="32"/>
          <w:szCs w:val="32"/>
        </w:rPr>
        <w:t>交割</w:t>
      </w:r>
    </w:p>
    <w:p w14:paraId="6C34A768">
      <w:pPr>
        <w:snapToGrid w:val="0"/>
        <w:spacing w:line="580" w:lineRule="atLeast"/>
        <w:ind w:firstLine="640" w:firstLineChars="200"/>
        <w:contextualSpacing/>
        <w:rPr>
          <w:rFonts w:hint="eastAsia" w:ascii="仿宋" w:hAnsi="仿宋" w:eastAsia="仿宋"/>
          <w:sz w:val="32"/>
          <w:szCs w:val="32"/>
        </w:rPr>
      </w:pPr>
      <w:r>
        <w:rPr>
          <w:rFonts w:hint="eastAsia" w:ascii="黑体" w:hAnsi="黑体" w:eastAsia="黑体"/>
          <w:sz w:val="32"/>
          <w:szCs w:val="32"/>
        </w:rPr>
        <w:t>第十</w:t>
      </w:r>
      <w:r>
        <w:rPr>
          <w:rFonts w:hint="eastAsia" w:ascii="黑体" w:hAnsi="黑体" w:eastAsia="黑体"/>
          <w:sz w:val="32"/>
          <w:szCs w:val="32"/>
          <w:lang w:val="en-US" w:eastAsia="zh-CN"/>
        </w:rPr>
        <w:t>五</w:t>
      </w:r>
      <w:r>
        <w:rPr>
          <w:rFonts w:hint="eastAsia" w:ascii="黑体" w:hAnsi="黑体" w:eastAsia="黑体"/>
          <w:sz w:val="32"/>
          <w:szCs w:val="32"/>
        </w:rPr>
        <w:t xml:space="preserve">条 </w:t>
      </w:r>
      <w:r>
        <w:rPr>
          <w:rFonts w:hint="eastAsia" w:ascii="仿宋" w:hAnsi="仿宋" w:eastAsia="仿宋"/>
          <w:sz w:val="32"/>
          <w:szCs w:val="32"/>
        </w:rPr>
        <w:t xml:space="preserve"> 成交后，待买卖双方完成合同签订，交易中心</w:t>
      </w:r>
      <w:r>
        <w:rPr>
          <w:rFonts w:hint="eastAsia" w:ascii="仿宋" w:hAnsi="仿宋" w:eastAsia="仿宋"/>
          <w:sz w:val="32"/>
          <w:szCs w:val="32"/>
          <w:lang w:val="en-US" w:eastAsia="zh-CN"/>
        </w:rPr>
        <w:t>见证合同并</w:t>
      </w:r>
      <w:r>
        <w:rPr>
          <w:rFonts w:hint="eastAsia" w:ascii="仿宋" w:hAnsi="仿宋" w:eastAsia="仿宋"/>
          <w:sz w:val="32"/>
          <w:szCs w:val="32"/>
        </w:rPr>
        <w:t>组织成交商品进入货款流转及交割流程。</w:t>
      </w:r>
    </w:p>
    <w:p w14:paraId="00339B34">
      <w:pPr>
        <w:snapToGrid w:val="0"/>
        <w:spacing w:line="580" w:lineRule="atLeast"/>
        <w:ind w:firstLine="612"/>
        <w:contextualSpacing/>
        <w:rPr>
          <w:rFonts w:hint="eastAsia" w:ascii="仿宋" w:hAnsi="仿宋" w:eastAsia="仿宋"/>
          <w:sz w:val="32"/>
          <w:szCs w:val="32"/>
        </w:rPr>
      </w:pPr>
      <w:r>
        <w:rPr>
          <w:rFonts w:hint="eastAsia" w:ascii="黑体" w:hAnsi="黑体" w:eastAsia="黑体"/>
          <w:sz w:val="32"/>
          <w:szCs w:val="32"/>
        </w:rPr>
        <w:t>第十</w:t>
      </w:r>
      <w:r>
        <w:rPr>
          <w:rFonts w:hint="eastAsia" w:ascii="黑体" w:hAnsi="黑体" w:eastAsia="黑体"/>
          <w:sz w:val="32"/>
          <w:szCs w:val="32"/>
          <w:lang w:val="en-US" w:eastAsia="zh-CN"/>
        </w:rPr>
        <w:t>六</w:t>
      </w:r>
      <w:r>
        <w:rPr>
          <w:rFonts w:hint="eastAsia" w:ascii="黑体" w:hAnsi="黑体" w:eastAsia="黑体"/>
          <w:sz w:val="32"/>
          <w:szCs w:val="32"/>
        </w:rPr>
        <w:t xml:space="preserve">条  </w:t>
      </w:r>
      <w:r>
        <w:rPr>
          <w:rFonts w:hint="eastAsia" w:ascii="仿宋" w:hAnsi="仿宋" w:eastAsia="仿宋"/>
          <w:sz w:val="32"/>
          <w:szCs w:val="32"/>
        </w:rPr>
        <w:t>买方向交易中心支付合同全额货款，交易中心收到买方全额货款后，通知卖方向买方办理成交商品的货权变更手续，或通过交易中心办理仓单过户手续。</w:t>
      </w:r>
      <w:r>
        <w:rPr>
          <w:rFonts w:hint="eastAsia" w:ascii="仿宋" w:hAnsi="仿宋" w:eastAsia="仿宋" w:cs="Times New Roman"/>
          <w:sz w:val="32"/>
          <w:szCs w:val="32"/>
          <w:lang w:bidi="ar"/>
        </w:rPr>
        <w:t>买方应于货权变更或仓单过户完成之日起10日内完成验收并告知交易中心验收结果，若买方在10日内未就货物的质量重量向交易中心提出异议，则视同买方对质量重量无异议。</w:t>
      </w:r>
    </w:p>
    <w:p w14:paraId="60BA76E8">
      <w:pPr>
        <w:snapToGrid w:val="0"/>
        <w:spacing w:line="580" w:lineRule="atLeast"/>
        <w:ind w:firstLine="640" w:firstLineChars="200"/>
        <w:contextualSpacing/>
        <w:rPr>
          <w:rFonts w:hint="eastAsia" w:ascii="仿宋" w:hAnsi="仿宋" w:eastAsia="仿宋"/>
          <w:sz w:val="32"/>
          <w:szCs w:val="32"/>
        </w:rPr>
      </w:pPr>
      <w:r>
        <w:rPr>
          <w:rFonts w:hint="eastAsia" w:ascii="仿宋" w:hAnsi="仿宋" w:eastAsia="仿宋"/>
          <w:sz w:val="32"/>
          <w:szCs w:val="32"/>
        </w:rPr>
        <w:t>已生成</w:t>
      </w:r>
      <w:r>
        <w:rPr>
          <w:rFonts w:hint="eastAsia" w:ascii="仿宋" w:hAnsi="仿宋" w:eastAsia="仿宋"/>
          <w:sz w:val="32"/>
          <w:szCs w:val="32"/>
          <w:lang w:val="en-US" w:eastAsia="zh-CN"/>
        </w:rPr>
        <w:t>全国棉花交易市场</w:t>
      </w:r>
      <w:r>
        <w:rPr>
          <w:rFonts w:hint="eastAsia" w:ascii="仿宋" w:hAnsi="仿宋" w:eastAsia="仿宋"/>
          <w:sz w:val="32"/>
          <w:szCs w:val="32"/>
        </w:rPr>
        <w:t>仓单的，交易中心收到买方合同全额货款后1个工作日内，向卖方支付合同全额货款的85%，卖方在交易中心收到上述货款的同时，为买方办理仓单过户手续（包括但不限于在对应的电子仓单上背书签章）。</w:t>
      </w:r>
    </w:p>
    <w:p w14:paraId="3BDF20B7">
      <w:pPr>
        <w:snapToGrid w:val="0"/>
        <w:spacing w:line="580" w:lineRule="atLeast"/>
        <w:contextualSpacing/>
        <w:rPr>
          <w:rFonts w:hint="eastAsia" w:ascii="仿宋" w:hAnsi="仿宋" w:eastAsia="仿宋"/>
          <w:sz w:val="32"/>
          <w:szCs w:val="32"/>
        </w:rPr>
      </w:pPr>
      <w:r>
        <w:rPr>
          <w:rFonts w:hint="eastAsia" w:ascii="仿宋" w:hAnsi="仿宋" w:eastAsia="仿宋"/>
          <w:sz w:val="32"/>
          <w:szCs w:val="32"/>
        </w:rPr>
        <w:t xml:space="preserve">    未生成</w:t>
      </w:r>
      <w:r>
        <w:rPr>
          <w:rFonts w:hint="eastAsia" w:ascii="仿宋" w:hAnsi="仿宋" w:eastAsia="仿宋"/>
          <w:sz w:val="32"/>
          <w:szCs w:val="32"/>
          <w:lang w:val="en-US" w:eastAsia="zh-CN"/>
        </w:rPr>
        <w:t>全国棉花交易市场</w:t>
      </w:r>
      <w:r>
        <w:rPr>
          <w:rFonts w:hint="eastAsia" w:ascii="仿宋" w:hAnsi="仿宋" w:eastAsia="仿宋"/>
          <w:sz w:val="32"/>
          <w:szCs w:val="32"/>
        </w:rPr>
        <w:t>仓单的，交易中心收到买方合同全额货款后，通知卖方变更货权至买方；买方确认收到货权后1个工作日内通知交易中心，交易中心接到买方通知后1个工作日内向卖方支付合同全额货款的85%。</w:t>
      </w:r>
    </w:p>
    <w:p w14:paraId="6D47D643">
      <w:pPr>
        <w:snapToGrid w:val="0"/>
        <w:spacing w:line="580" w:lineRule="atLeast"/>
        <w:contextualSpacing/>
        <w:rPr>
          <w:rFonts w:hint="eastAsia" w:ascii="仿宋" w:hAnsi="仿宋" w:eastAsia="仿宋"/>
          <w:sz w:val="32"/>
          <w:szCs w:val="32"/>
        </w:rPr>
      </w:pPr>
      <w:r>
        <w:rPr>
          <w:rFonts w:hint="eastAsia" w:ascii="仿宋" w:hAnsi="仿宋" w:eastAsia="仿宋"/>
          <w:sz w:val="32"/>
          <w:szCs w:val="32"/>
        </w:rPr>
        <w:t xml:space="preserve">    交易中心暂扣合同全额货款的15%作为</w:t>
      </w:r>
      <w:r>
        <w:rPr>
          <w:rFonts w:hint="eastAsia" w:ascii="仿宋" w:hAnsi="仿宋" w:eastAsia="仿宋"/>
          <w:sz w:val="32"/>
          <w:szCs w:val="32"/>
          <w:lang w:val="en-US" w:eastAsia="zh-CN"/>
        </w:rPr>
        <w:t>卖方</w:t>
      </w:r>
      <w:r>
        <w:rPr>
          <w:rFonts w:hint="eastAsia" w:ascii="仿宋" w:hAnsi="仿宋" w:eastAsia="仿宋"/>
          <w:sz w:val="32"/>
          <w:szCs w:val="32"/>
        </w:rPr>
        <w:t>质量重量保证金；待买方验收无异议后，卖方向买方开具全额增值税专用发票；买方收到增值税专用发票后，通知交易中心向卖方支付</w:t>
      </w:r>
      <w:r>
        <w:rPr>
          <w:rFonts w:hint="eastAsia" w:ascii="仿宋" w:hAnsi="仿宋" w:eastAsia="仿宋"/>
          <w:sz w:val="32"/>
          <w:szCs w:val="32"/>
          <w:lang w:val="en-US" w:eastAsia="zh-CN"/>
        </w:rPr>
        <w:t>剩余货款</w:t>
      </w:r>
      <w:r>
        <w:rPr>
          <w:rFonts w:hint="eastAsia" w:ascii="仿宋" w:hAnsi="仿宋" w:eastAsia="仿宋"/>
          <w:sz w:val="32"/>
          <w:szCs w:val="32"/>
        </w:rPr>
        <w:t>。</w:t>
      </w:r>
    </w:p>
    <w:p w14:paraId="6B7DE9D6">
      <w:pPr>
        <w:snapToGrid w:val="0"/>
        <w:spacing w:line="580" w:lineRule="atLeast"/>
        <w:ind w:firstLine="573"/>
        <w:contextualSpacing/>
        <w:rPr>
          <w:rFonts w:hint="eastAsia" w:ascii="黑体" w:hAnsi="黑体" w:eastAsia="黑体"/>
          <w:sz w:val="32"/>
          <w:szCs w:val="32"/>
        </w:rPr>
      </w:pPr>
      <w:r>
        <w:rPr>
          <w:rFonts w:hint="eastAsia" w:ascii="黑体" w:hAnsi="黑体" w:eastAsia="黑体"/>
          <w:sz w:val="32"/>
          <w:szCs w:val="32"/>
        </w:rPr>
        <w:t>第十</w:t>
      </w:r>
      <w:r>
        <w:rPr>
          <w:rFonts w:hint="eastAsia" w:ascii="黑体" w:hAnsi="黑体" w:eastAsia="黑体"/>
          <w:sz w:val="32"/>
          <w:szCs w:val="32"/>
          <w:lang w:val="en-US" w:eastAsia="zh-CN"/>
        </w:rPr>
        <w:t>七</w:t>
      </w:r>
      <w:r>
        <w:rPr>
          <w:rFonts w:hint="eastAsia" w:ascii="黑体" w:hAnsi="黑体" w:eastAsia="黑体"/>
          <w:sz w:val="32"/>
          <w:szCs w:val="32"/>
        </w:rPr>
        <w:t xml:space="preserve">条  </w:t>
      </w:r>
      <w:r>
        <w:rPr>
          <w:rFonts w:hint="eastAsia" w:ascii="仿宋" w:hAnsi="仿宋" w:eastAsia="仿宋"/>
          <w:sz w:val="32"/>
          <w:szCs w:val="32"/>
        </w:rPr>
        <w:t>买方支付</w:t>
      </w:r>
      <w:r>
        <w:rPr>
          <w:rFonts w:hint="eastAsia" w:ascii="仿宋" w:hAnsi="仿宋" w:eastAsia="仿宋"/>
          <w:sz w:val="32"/>
          <w:szCs w:val="32"/>
          <w:lang w:val="en-US" w:eastAsia="zh-CN"/>
        </w:rPr>
        <w:t>全部</w:t>
      </w:r>
      <w:r>
        <w:rPr>
          <w:rFonts w:hint="eastAsia" w:ascii="仿宋" w:hAnsi="仿宋" w:eastAsia="仿宋"/>
          <w:sz w:val="32"/>
          <w:szCs w:val="32"/>
        </w:rPr>
        <w:t>货款后，交易中心释放买方对应部分履约保证金。完成商品交割后，交易中心释放卖方对应部分履约保证金</w:t>
      </w:r>
      <w:r>
        <w:rPr>
          <w:rFonts w:hint="eastAsia" w:ascii="仿宋" w:hAnsi="仿宋" w:eastAsia="仿宋"/>
          <w:sz w:val="32"/>
          <w:szCs w:val="32"/>
          <w:lang w:eastAsia="zh-CN"/>
        </w:rPr>
        <w:t>（</w:t>
      </w:r>
      <w:r>
        <w:rPr>
          <w:rFonts w:hint="eastAsia" w:ascii="仿宋" w:hAnsi="仿宋" w:eastAsia="仿宋"/>
          <w:sz w:val="32"/>
          <w:szCs w:val="32"/>
          <w:lang w:val="en-US" w:eastAsia="zh-CN"/>
        </w:rPr>
        <w:t>如有</w:t>
      </w:r>
      <w:r>
        <w:rPr>
          <w:rFonts w:hint="eastAsia" w:ascii="仿宋" w:hAnsi="仿宋" w:eastAsia="仿宋"/>
          <w:sz w:val="32"/>
          <w:szCs w:val="32"/>
          <w:lang w:eastAsia="zh-CN"/>
        </w:rPr>
        <w:t>）</w:t>
      </w:r>
      <w:r>
        <w:rPr>
          <w:rFonts w:hint="eastAsia" w:ascii="仿宋" w:hAnsi="仿宋" w:eastAsia="仿宋"/>
          <w:sz w:val="32"/>
          <w:szCs w:val="32"/>
        </w:rPr>
        <w:t>。</w:t>
      </w:r>
    </w:p>
    <w:p w14:paraId="4791D133">
      <w:pPr>
        <w:snapToGrid w:val="0"/>
        <w:spacing w:line="580" w:lineRule="atLeast"/>
        <w:ind w:firstLine="573"/>
        <w:contextualSpacing/>
        <w:rPr>
          <w:rFonts w:hint="eastAsia" w:ascii="仿宋" w:hAnsi="仿宋" w:eastAsia="仿宋"/>
          <w:sz w:val="32"/>
          <w:szCs w:val="32"/>
        </w:rPr>
      </w:pPr>
      <w:r>
        <w:rPr>
          <w:rFonts w:hint="eastAsia" w:ascii="黑体" w:hAnsi="黑体" w:eastAsia="黑体"/>
          <w:sz w:val="32"/>
          <w:szCs w:val="32"/>
        </w:rPr>
        <w:t>第十</w:t>
      </w:r>
      <w:r>
        <w:rPr>
          <w:rFonts w:hint="eastAsia" w:ascii="黑体" w:hAnsi="黑体" w:eastAsia="黑体"/>
          <w:sz w:val="32"/>
          <w:szCs w:val="32"/>
          <w:lang w:val="en-US" w:eastAsia="zh-CN"/>
        </w:rPr>
        <w:t>八</w:t>
      </w:r>
      <w:r>
        <w:rPr>
          <w:rFonts w:hint="eastAsia" w:ascii="黑体" w:hAnsi="黑体" w:eastAsia="黑体"/>
          <w:sz w:val="32"/>
          <w:szCs w:val="32"/>
        </w:rPr>
        <w:t>条</w:t>
      </w:r>
      <w:r>
        <w:rPr>
          <w:rFonts w:hint="eastAsia" w:ascii="仿宋" w:hAnsi="仿宋" w:eastAsia="仿宋"/>
          <w:sz w:val="32"/>
          <w:szCs w:val="32"/>
        </w:rPr>
        <w:t xml:space="preserve">  买卖双方须在成交后2个工作日内</w:t>
      </w:r>
      <w:r>
        <w:rPr>
          <w:rFonts w:hint="eastAsia" w:ascii="仿宋" w:hAnsi="仿宋" w:eastAsia="仿宋"/>
          <w:sz w:val="32"/>
          <w:szCs w:val="32"/>
          <w:lang w:eastAsia="zh-CN"/>
        </w:rPr>
        <w:t>（</w:t>
      </w:r>
      <w:r>
        <w:rPr>
          <w:rFonts w:hint="eastAsia" w:ascii="仿宋" w:hAnsi="仿宋" w:eastAsia="仿宋"/>
          <w:sz w:val="32"/>
          <w:szCs w:val="32"/>
          <w:lang w:val="en-US" w:eastAsia="zh-CN"/>
        </w:rPr>
        <w:t>含</w:t>
      </w:r>
      <w:r>
        <w:rPr>
          <w:rFonts w:hint="eastAsia" w:ascii="仿宋" w:hAnsi="仿宋" w:eastAsia="仿宋"/>
          <w:sz w:val="32"/>
          <w:szCs w:val="32"/>
          <w:lang w:eastAsia="zh-CN"/>
        </w:rPr>
        <w:t>）</w:t>
      </w:r>
      <w:r>
        <w:rPr>
          <w:rFonts w:hint="eastAsia" w:ascii="仿宋" w:hAnsi="仿宋" w:eastAsia="仿宋"/>
          <w:sz w:val="32"/>
          <w:szCs w:val="32"/>
        </w:rPr>
        <w:t>签订合同并加盖电子印章，否则未签订合同或未加盖电子印章的一方按违约处理。买方须在成交后5个工作日内</w:t>
      </w:r>
      <w:r>
        <w:rPr>
          <w:rFonts w:hint="eastAsia" w:ascii="仿宋" w:hAnsi="仿宋" w:eastAsia="仿宋"/>
          <w:sz w:val="32"/>
          <w:szCs w:val="32"/>
          <w:lang w:eastAsia="zh-CN"/>
        </w:rPr>
        <w:t>（</w:t>
      </w:r>
      <w:r>
        <w:rPr>
          <w:rFonts w:hint="eastAsia" w:ascii="仿宋" w:hAnsi="仿宋" w:eastAsia="仿宋"/>
          <w:sz w:val="32"/>
          <w:szCs w:val="32"/>
          <w:lang w:val="en-US" w:eastAsia="zh-CN"/>
        </w:rPr>
        <w:t>含</w:t>
      </w:r>
      <w:r>
        <w:rPr>
          <w:rFonts w:hint="eastAsia" w:ascii="仿宋" w:hAnsi="仿宋" w:eastAsia="仿宋"/>
          <w:sz w:val="32"/>
          <w:szCs w:val="32"/>
          <w:lang w:eastAsia="zh-CN"/>
        </w:rPr>
        <w:t>）</w:t>
      </w:r>
      <w:r>
        <w:rPr>
          <w:rFonts w:hint="eastAsia" w:ascii="仿宋" w:hAnsi="仿宋" w:eastAsia="仿宋"/>
          <w:sz w:val="32"/>
          <w:szCs w:val="32"/>
        </w:rPr>
        <w:t>将成交货款汇至合同指定账户，否则按买方违约处理。</w:t>
      </w:r>
    </w:p>
    <w:p w14:paraId="7FD7CF35">
      <w:pPr>
        <w:snapToGrid w:val="0"/>
        <w:spacing w:line="580" w:lineRule="atLeast"/>
        <w:ind w:firstLine="570"/>
        <w:contextualSpacing/>
        <w:rPr>
          <w:rFonts w:hint="eastAsia" w:ascii="仿宋" w:hAnsi="仿宋" w:eastAsia="仿宋"/>
          <w:sz w:val="32"/>
          <w:szCs w:val="32"/>
        </w:rPr>
      </w:pPr>
      <w:r>
        <w:rPr>
          <w:rFonts w:hint="eastAsia" w:ascii="黑体" w:hAnsi="黑体" w:eastAsia="黑体"/>
          <w:sz w:val="32"/>
          <w:szCs w:val="32"/>
        </w:rPr>
        <w:t>第十</w:t>
      </w:r>
      <w:r>
        <w:rPr>
          <w:rFonts w:hint="eastAsia" w:ascii="黑体" w:hAnsi="黑体" w:eastAsia="黑体"/>
          <w:sz w:val="32"/>
          <w:szCs w:val="32"/>
          <w:lang w:val="en-US" w:eastAsia="zh-CN"/>
        </w:rPr>
        <w:t>九</w:t>
      </w:r>
      <w:r>
        <w:rPr>
          <w:rFonts w:hint="eastAsia" w:ascii="黑体" w:hAnsi="黑体" w:eastAsia="黑体"/>
          <w:sz w:val="32"/>
          <w:szCs w:val="32"/>
        </w:rPr>
        <w:t xml:space="preserve">条  </w:t>
      </w:r>
      <w:r>
        <w:rPr>
          <w:rFonts w:hint="eastAsia" w:ascii="仿宋" w:hAnsi="仿宋" w:eastAsia="仿宋"/>
          <w:sz w:val="32"/>
          <w:szCs w:val="32"/>
        </w:rPr>
        <w:t>卖方收到对应货款后，应及时开具增值税发票，超过10个工作日未开具，按违约处理。</w:t>
      </w:r>
    </w:p>
    <w:p w14:paraId="6E7C4506">
      <w:pPr>
        <w:widowControl/>
        <w:snapToGrid w:val="0"/>
        <w:spacing w:line="580" w:lineRule="atLeast"/>
        <w:contextualSpacing/>
        <w:jc w:val="left"/>
        <w:rPr>
          <w:rFonts w:hint="eastAsia" w:ascii="仿宋" w:hAnsi="仿宋" w:eastAsia="仿宋"/>
          <w:sz w:val="32"/>
          <w:szCs w:val="32"/>
        </w:rPr>
      </w:pPr>
    </w:p>
    <w:p w14:paraId="701E16F6">
      <w:pPr>
        <w:spacing w:before="156" w:beforeLines="50" w:line="580" w:lineRule="atLeast"/>
        <w:contextualSpacing/>
        <w:jc w:val="center"/>
        <w:rPr>
          <w:rFonts w:hint="eastAsia" w:ascii="黑体" w:hAnsi="黑体" w:eastAsia="黑体" w:cs="Times New Roman"/>
          <w:sz w:val="32"/>
          <w:szCs w:val="32"/>
        </w:rPr>
      </w:pPr>
      <w:r>
        <w:rPr>
          <w:rFonts w:hint="eastAsia" w:ascii="黑体" w:hAnsi="黑体" w:eastAsia="黑体" w:cs="Times New Roman"/>
          <w:sz w:val="32"/>
          <w:szCs w:val="32"/>
        </w:rPr>
        <w:t>第五章  费用</w:t>
      </w:r>
    </w:p>
    <w:p w14:paraId="21D7848C">
      <w:pPr>
        <w:snapToGrid w:val="0"/>
        <w:spacing w:before="156" w:beforeLines="50" w:line="580" w:lineRule="atLeast"/>
        <w:ind w:firstLine="640" w:firstLineChars="200"/>
        <w:contextualSpacing/>
        <w:rPr>
          <w:rFonts w:hint="eastAsia" w:ascii="仿宋" w:hAnsi="仿宋" w:eastAsia="仿宋" w:cs="Times New Roman"/>
          <w:sz w:val="32"/>
          <w:szCs w:val="32"/>
        </w:rPr>
      </w:pPr>
      <w:r>
        <w:rPr>
          <w:rFonts w:hint="eastAsia" w:ascii="黑体" w:hAnsi="黑体" w:eastAsia="黑体" w:cs="Times New Roman"/>
          <w:sz w:val="32"/>
          <w:szCs w:val="32"/>
        </w:rPr>
        <w:t>第</w:t>
      </w:r>
      <w:r>
        <w:rPr>
          <w:rFonts w:hint="eastAsia" w:ascii="黑体" w:hAnsi="黑体" w:eastAsia="黑体" w:cs="Times New Roman"/>
          <w:sz w:val="32"/>
          <w:szCs w:val="32"/>
          <w:lang w:val="en-US" w:eastAsia="zh-CN"/>
        </w:rPr>
        <w:t>二十</w:t>
      </w:r>
      <w:r>
        <w:rPr>
          <w:rFonts w:hint="eastAsia" w:ascii="黑体" w:hAnsi="黑体" w:eastAsia="黑体" w:cs="Times New Roman"/>
          <w:sz w:val="32"/>
          <w:szCs w:val="32"/>
        </w:rPr>
        <w:t xml:space="preserve">条  </w:t>
      </w:r>
      <w:r>
        <w:rPr>
          <w:rFonts w:hint="eastAsia" w:ascii="仿宋" w:hAnsi="仿宋" w:eastAsia="仿宋" w:cs="Times New Roman"/>
          <w:sz w:val="32"/>
          <w:szCs w:val="32"/>
        </w:rPr>
        <w:t>参与现货挂牌交易业务时，交易中心按照对外公布的收费标准分别向买卖双方收取手续费，并向交易商开具手续费发票。</w:t>
      </w:r>
    </w:p>
    <w:p w14:paraId="1E63559D">
      <w:pPr>
        <w:widowControl/>
        <w:snapToGrid w:val="0"/>
        <w:spacing w:before="156" w:beforeLines="50" w:line="580" w:lineRule="atLeast"/>
        <w:ind w:firstLine="640" w:firstLineChars="200"/>
        <w:contextualSpacing/>
        <w:rPr>
          <w:rFonts w:hint="eastAsia" w:ascii="仿宋" w:hAnsi="仿宋" w:eastAsia="仿宋" w:cs="Times New Roman"/>
          <w:sz w:val="32"/>
          <w:szCs w:val="32"/>
        </w:rPr>
      </w:pPr>
      <w:r>
        <w:rPr>
          <w:rFonts w:hint="eastAsia" w:ascii="黑体" w:hAnsi="黑体" w:eastAsia="黑体" w:cs="Times New Roman"/>
          <w:sz w:val="32"/>
          <w:szCs w:val="32"/>
        </w:rPr>
        <w:t>第二十</w:t>
      </w:r>
      <w:r>
        <w:rPr>
          <w:rFonts w:hint="eastAsia" w:ascii="黑体" w:hAnsi="黑体" w:eastAsia="黑体" w:cs="Times New Roman"/>
          <w:sz w:val="32"/>
          <w:szCs w:val="32"/>
          <w:lang w:val="en-US" w:eastAsia="zh-CN"/>
        </w:rPr>
        <w:t>一</w:t>
      </w:r>
      <w:r>
        <w:rPr>
          <w:rFonts w:hint="eastAsia" w:ascii="黑体" w:hAnsi="黑体" w:eastAsia="黑体" w:cs="Times New Roman"/>
          <w:sz w:val="32"/>
          <w:szCs w:val="32"/>
        </w:rPr>
        <w:t>条</w:t>
      </w:r>
      <w:r>
        <w:rPr>
          <w:rFonts w:hint="eastAsia" w:ascii="仿宋" w:hAnsi="仿宋" w:eastAsia="仿宋" w:cs="Times New Roman"/>
          <w:sz w:val="32"/>
          <w:szCs w:val="32"/>
        </w:rPr>
        <w:t xml:space="preserve">  如果出现因一方违约而造成另一方不能履约的情况，交易中心只收取违约方相应的费用。</w:t>
      </w:r>
    </w:p>
    <w:p w14:paraId="2356615A">
      <w:pPr>
        <w:snapToGrid w:val="0"/>
        <w:spacing w:before="156" w:beforeLines="50" w:line="580" w:lineRule="atLeast"/>
        <w:ind w:firstLine="600"/>
        <w:contextualSpacing/>
        <w:rPr>
          <w:rFonts w:hint="eastAsia" w:ascii="仿宋" w:hAnsi="仿宋" w:eastAsia="仿宋" w:cs="Times New Roman"/>
          <w:sz w:val="32"/>
          <w:szCs w:val="32"/>
        </w:rPr>
      </w:pPr>
      <w:r>
        <w:rPr>
          <w:rFonts w:hint="eastAsia" w:ascii="黑体" w:hAnsi="黑体" w:eastAsia="黑体" w:cs="Times New Roman"/>
          <w:sz w:val="32"/>
          <w:szCs w:val="32"/>
        </w:rPr>
        <w:t>第二十</w:t>
      </w:r>
      <w:r>
        <w:rPr>
          <w:rFonts w:hint="eastAsia" w:ascii="黑体" w:hAnsi="黑体" w:eastAsia="黑体" w:cs="Times New Roman"/>
          <w:sz w:val="32"/>
          <w:szCs w:val="32"/>
          <w:lang w:val="en-US" w:eastAsia="zh-CN"/>
        </w:rPr>
        <w:t>二</w:t>
      </w:r>
      <w:r>
        <w:rPr>
          <w:rFonts w:hint="eastAsia" w:ascii="黑体" w:hAnsi="黑体" w:eastAsia="黑体" w:cs="Times New Roman"/>
          <w:sz w:val="32"/>
          <w:szCs w:val="32"/>
        </w:rPr>
        <w:t xml:space="preserve">条  </w:t>
      </w:r>
      <w:r>
        <w:rPr>
          <w:rFonts w:hint="eastAsia" w:ascii="仿宋" w:hAnsi="仿宋" w:eastAsia="仿宋" w:cs="Times New Roman"/>
          <w:sz w:val="32"/>
          <w:szCs w:val="32"/>
        </w:rPr>
        <w:t>除非</w:t>
      </w:r>
      <w:r>
        <w:rPr>
          <w:rFonts w:hint="eastAsia" w:ascii="仿宋" w:hAnsi="仿宋" w:eastAsia="仿宋" w:cs="Times New Roman"/>
          <w:kern w:val="0"/>
          <w:sz w:val="32"/>
          <w:szCs w:val="32"/>
        </w:rPr>
        <w:t>买卖双方另有约定，</w:t>
      </w:r>
      <w:r>
        <w:rPr>
          <w:rFonts w:hint="eastAsia" w:ascii="仿宋" w:hAnsi="仿宋" w:eastAsia="仿宋" w:cs="Times New Roman"/>
          <w:sz w:val="32"/>
          <w:szCs w:val="32"/>
        </w:rPr>
        <w:t>买方自货权变更之日起承担对应商品的保管、保险费。</w:t>
      </w:r>
    </w:p>
    <w:p w14:paraId="45472976">
      <w:pPr>
        <w:snapToGrid w:val="0"/>
        <w:spacing w:before="156" w:beforeLines="50" w:line="580" w:lineRule="atLeast"/>
        <w:ind w:firstLine="600"/>
        <w:contextualSpacing/>
        <w:rPr>
          <w:rFonts w:hint="eastAsia" w:ascii="仿宋" w:hAnsi="仿宋" w:eastAsia="仿宋" w:cs="Times New Roman"/>
          <w:sz w:val="32"/>
          <w:szCs w:val="32"/>
        </w:rPr>
      </w:pPr>
      <w:r>
        <w:rPr>
          <w:rFonts w:hint="eastAsia" w:ascii="黑体" w:hAnsi="黑体" w:eastAsia="黑体" w:cs="Times New Roman"/>
          <w:sz w:val="32"/>
          <w:szCs w:val="32"/>
        </w:rPr>
        <w:t>第二十</w:t>
      </w:r>
      <w:r>
        <w:rPr>
          <w:rFonts w:hint="eastAsia" w:ascii="黑体" w:hAnsi="黑体" w:eastAsia="黑体" w:cs="Times New Roman"/>
          <w:sz w:val="32"/>
          <w:szCs w:val="32"/>
          <w:lang w:val="en-US" w:eastAsia="zh-CN"/>
        </w:rPr>
        <w:t>三</w:t>
      </w:r>
      <w:r>
        <w:rPr>
          <w:rFonts w:hint="eastAsia" w:ascii="黑体" w:hAnsi="黑体" w:eastAsia="黑体" w:cs="Times New Roman"/>
          <w:sz w:val="32"/>
          <w:szCs w:val="32"/>
        </w:rPr>
        <w:t xml:space="preserve">条  </w:t>
      </w:r>
      <w:r>
        <w:rPr>
          <w:rFonts w:hint="eastAsia" w:ascii="仿宋" w:hAnsi="仿宋" w:eastAsia="仿宋" w:cs="Times New Roman"/>
          <w:sz w:val="32"/>
          <w:szCs w:val="32"/>
        </w:rPr>
        <w:t>全国棉花交易市场指定交割（监管）仓库相关收费标准按照《全国棉花交易市场指定交割（监管）仓库管理办法》有关费用管理规定执行。新疆专业监管棉花相关收费标准按照新疆维吾尔自治区有关部门规定执行。</w:t>
      </w:r>
    </w:p>
    <w:p w14:paraId="3E37AB2A">
      <w:pPr>
        <w:widowControl/>
        <w:snapToGrid w:val="0"/>
        <w:spacing w:line="580" w:lineRule="atLeast"/>
        <w:ind w:firstLine="640" w:firstLineChars="200"/>
        <w:contextualSpacing/>
        <w:jc w:val="left"/>
        <w:rPr>
          <w:rFonts w:hint="eastAsia" w:ascii="仿宋" w:hAnsi="仿宋" w:eastAsia="仿宋" w:cs="Times New Roman"/>
          <w:sz w:val="32"/>
          <w:szCs w:val="32"/>
        </w:rPr>
      </w:pPr>
      <w:r>
        <w:rPr>
          <w:rFonts w:hint="eastAsia" w:ascii="黑体" w:hAnsi="黑体" w:eastAsia="黑体" w:cs="Times New Roman"/>
          <w:sz w:val="32"/>
          <w:szCs w:val="32"/>
        </w:rPr>
        <w:t>第二十</w:t>
      </w:r>
      <w:r>
        <w:rPr>
          <w:rFonts w:hint="eastAsia" w:ascii="黑体" w:hAnsi="黑体" w:eastAsia="黑体" w:cs="Times New Roman"/>
          <w:sz w:val="32"/>
          <w:szCs w:val="32"/>
          <w:lang w:val="en-US" w:eastAsia="zh-CN"/>
        </w:rPr>
        <w:t>四</w:t>
      </w:r>
      <w:r>
        <w:rPr>
          <w:rFonts w:hint="eastAsia" w:ascii="黑体" w:hAnsi="黑体" w:eastAsia="黑体" w:cs="Times New Roman"/>
          <w:sz w:val="32"/>
          <w:szCs w:val="32"/>
        </w:rPr>
        <w:t xml:space="preserve">条  </w:t>
      </w:r>
      <w:r>
        <w:rPr>
          <w:rFonts w:hint="eastAsia" w:ascii="仿宋" w:hAnsi="仿宋" w:eastAsia="仿宋" w:cs="Times New Roman"/>
          <w:sz w:val="32"/>
          <w:szCs w:val="32"/>
        </w:rPr>
        <w:t>非全国棉花交易市场指定交割（监管）仓库</w:t>
      </w:r>
      <w:r>
        <w:rPr>
          <w:rFonts w:hint="eastAsia" w:ascii="仿宋" w:hAnsi="仿宋" w:eastAsia="仿宋" w:cs="Times New Roman"/>
          <w:sz w:val="32"/>
          <w:szCs w:val="32"/>
          <w:lang w:val="en-US" w:eastAsia="zh-CN"/>
        </w:rPr>
        <w:t>的</w:t>
      </w:r>
      <w:r>
        <w:rPr>
          <w:rFonts w:hint="eastAsia" w:ascii="仿宋" w:hAnsi="仿宋" w:eastAsia="仿宋" w:cs="Times New Roman"/>
          <w:sz w:val="32"/>
          <w:szCs w:val="32"/>
        </w:rPr>
        <w:t>收费标准</w:t>
      </w:r>
      <w:r>
        <w:rPr>
          <w:rFonts w:hint="eastAsia" w:ascii="仿宋" w:hAnsi="仿宋" w:eastAsia="仿宋" w:cs="Times New Roman"/>
          <w:sz w:val="32"/>
          <w:szCs w:val="32"/>
          <w:lang w:eastAsia="zh-CN"/>
        </w:rPr>
        <w:t>，</w:t>
      </w:r>
      <w:r>
        <w:rPr>
          <w:rFonts w:hint="eastAsia" w:ascii="仿宋" w:hAnsi="仿宋" w:eastAsia="仿宋" w:cs="Times New Roman"/>
          <w:sz w:val="32"/>
          <w:szCs w:val="32"/>
        </w:rPr>
        <w:t>由买卖双方向非指定交割（监管）仓库自行确认。</w:t>
      </w:r>
    </w:p>
    <w:p w14:paraId="7EF1D9B5">
      <w:pPr>
        <w:widowControl/>
        <w:snapToGrid w:val="0"/>
        <w:spacing w:line="580" w:lineRule="atLeast"/>
        <w:contextualSpacing/>
        <w:jc w:val="left"/>
        <w:rPr>
          <w:rFonts w:hint="eastAsia" w:ascii="仿宋" w:hAnsi="仿宋" w:eastAsia="仿宋" w:cs="Times New Roman"/>
          <w:sz w:val="32"/>
          <w:szCs w:val="32"/>
        </w:rPr>
      </w:pPr>
    </w:p>
    <w:p w14:paraId="44A0D286">
      <w:pPr>
        <w:pStyle w:val="10"/>
        <w:snapToGrid w:val="0"/>
        <w:spacing w:line="580" w:lineRule="atLeast"/>
        <w:ind w:firstLine="0" w:firstLineChars="0"/>
        <w:contextualSpacing/>
        <w:jc w:val="center"/>
        <w:rPr>
          <w:rFonts w:hint="eastAsia" w:ascii="黑体" w:hAnsi="黑体" w:eastAsia="黑体"/>
          <w:sz w:val="32"/>
          <w:szCs w:val="32"/>
        </w:rPr>
      </w:pPr>
      <w:bookmarkStart w:id="10" w:name="_Toc385256295"/>
      <w:r>
        <w:rPr>
          <w:rFonts w:hint="eastAsia" w:ascii="黑体" w:hAnsi="黑体" w:eastAsia="黑体"/>
          <w:sz w:val="32"/>
          <w:szCs w:val="32"/>
        </w:rPr>
        <w:t>第六章  质量重量纠纷处理</w:t>
      </w:r>
      <w:bookmarkEnd w:id="10"/>
    </w:p>
    <w:p w14:paraId="44CB65BB">
      <w:pPr>
        <w:snapToGrid w:val="0"/>
        <w:spacing w:before="156" w:beforeLines="50" w:line="580" w:lineRule="atLeast"/>
        <w:ind w:firstLine="600"/>
        <w:contextualSpacing/>
        <w:rPr>
          <w:rFonts w:hint="eastAsia" w:ascii="仿宋" w:hAnsi="仿宋" w:eastAsia="仿宋"/>
          <w:sz w:val="32"/>
          <w:szCs w:val="32"/>
        </w:rPr>
      </w:pPr>
      <w:r>
        <w:rPr>
          <w:rFonts w:hint="eastAsia" w:ascii="黑体" w:hAnsi="黑体" w:eastAsia="黑体"/>
          <w:sz w:val="32"/>
          <w:szCs w:val="32"/>
        </w:rPr>
        <w:t>第二十</w:t>
      </w:r>
      <w:r>
        <w:rPr>
          <w:rFonts w:hint="eastAsia" w:ascii="黑体" w:hAnsi="黑体" w:eastAsia="黑体"/>
          <w:sz w:val="32"/>
          <w:szCs w:val="32"/>
          <w:lang w:val="en-US" w:eastAsia="zh-CN"/>
        </w:rPr>
        <w:t>五</w:t>
      </w:r>
      <w:r>
        <w:rPr>
          <w:rFonts w:hint="eastAsia" w:ascii="黑体" w:hAnsi="黑体" w:eastAsia="黑体"/>
          <w:sz w:val="32"/>
          <w:szCs w:val="32"/>
        </w:rPr>
        <w:t xml:space="preserve">条 </w:t>
      </w:r>
      <w:r>
        <w:rPr>
          <w:rFonts w:hint="eastAsia" w:ascii="仿宋" w:hAnsi="仿宋" w:eastAsia="仿宋"/>
          <w:sz w:val="32"/>
          <w:szCs w:val="32"/>
        </w:rPr>
        <w:t xml:space="preserve"> 参与交易的商品出现以下情况，按国家有关规定处理，并依法追究相关方责任。</w:t>
      </w:r>
    </w:p>
    <w:p w14:paraId="04C06854">
      <w:pPr>
        <w:snapToGrid w:val="0"/>
        <w:spacing w:before="156" w:beforeLines="50" w:line="580" w:lineRule="atLeast"/>
        <w:ind w:firstLine="600"/>
        <w:contextualSpacing/>
        <w:rPr>
          <w:rFonts w:hint="eastAsia" w:ascii="仿宋" w:hAnsi="仿宋" w:eastAsia="仿宋"/>
          <w:sz w:val="32"/>
          <w:szCs w:val="32"/>
        </w:rPr>
      </w:pPr>
      <w:r>
        <w:rPr>
          <w:rFonts w:hint="eastAsia" w:ascii="仿宋" w:hAnsi="仿宋" w:eastAsia="仿宋"/>
          <w:sz w:val="32"/>
          <w:szCs w:val="32"/>
        </w:rPr>
        <w:t>1、掺杂使假；</w:t>
      </w:r>
    </w:p>
    <w:p w14:paraId="3DFDBBE7">
      <w:pPr>
        <w:snapToGrid w:val="0"/>
        <w:spacing w:before="156" w:beforeLines="50" w:line="580" w:lineRule="atLeast"/>
        <w:ind w:firstLine="600"/>
        <w:contextualSpacing/>
        <w:rPr>
          <w:rFonts w:hint="eastAsia" w:ascii="仿宋" w:hAnsi="仿宋" w:eastAsia="仿宋"/>
          <w:sz w:val="32"/>
          <w:szCs w:val="32"/>
        </w:rPr>
      </w:pPr>
      <w:r>
        <w:rPr>
          <w:rFonts w:hint="eastAsia" w:ascii="仿宋" w:hAnsi="仿宋" w:eastAsia="仿宋"/>
          <w:sz w:val="32"/>
          <w:szCs w:val="32"/>
        </w:rPr>
        <w:t>2、包装内部有污染、霉变；</w:t>
      </w:r>
    </w:p>
    <w:p w14:paraId="178045AE">
      <w:pPr>
        <w:snapToGrid w:val="0"/>
        <w:spacing w:before="156" w:beforeLines="50" w:line="580" w:lineRule="atLeast"/>
        <w:ind w:firstLine="600"/>
        <w:contextualSpacing/>
        <w:rPr>
          <w:rFonts w:hint="eastAsia" w:ascii="仿宋" w:hAnsi="仿宋" w:eastAsia="仿宋"/>
          <w:sz w:val="32"/>
          <w:szCs w:val="32"/>
        </w:rPr>
      </w:pPr>
      <w:r>
        <w:rPr>
          <w:rFonts w:hint="eastAsia" w:ascii="仿宋" w:hAnsi="仿宋" w:eastAsia="仿宋"/>
          <w:sz w:val="32"/>
          <w:szCs w:val="32"/>
        </w:rPr>
        <w:t>3、经权威第三方检测机构检验认定质量重量与卖方描述严重不符；</w:t>
      </w:r>
    </w:p>
    <w:p w14:paraId="0B13E05A">
      <w:pPr>
        <w:snapToGrid w:val="0"/>
        <w:spacing w:before="156" w:beforeLines="50" w:line="580" w:lineRule="atLeast"/>
        <w:ind w:firstLine="600"/>
        <w:contextualSpacing/>
        <w:rPr>
          <w:rFonts w:hint="eastAsia" w:ascii="仿宋" w:hAnsi="仿宋" w:eastAsia="仿宋"/>
          <w:sz w:val="32"/>
          <w:szCs w:val="32"/>
        </w:rPr>
      </w:pPr>
      <w:r>
        <w:rPr>
          <w:rFonts w:hint="eastAsia" w:ascii="仿宋" w:hAnsi="仿宋" w:eastAsia="仿宋"/>
          <w:sz w:val="32"/>
          <w:szCs w:val="32"/>
        </w:rPr>
        <w:t>4、法律、法规规定的其他情形。</w:t>
      </w:r>
    </w:p>
    <w:p w14:paraId="4ABB0652">
      <w:pPr>
        <w:snapToGrid w:val="0"/>
        <w:spacing w:before="156" w:beforeLines="50" w:line="580" w:lineRule="atLeast"/>
        <w:ind w:firstLine="600"/>
        <w:contextualSpacing/>
        <w:rPr>
          <w:rFonts w:hint="eastAsia" w:ascii="仿宋" w:hAnsi="仿宋" w:eastAsia="仿宋"/>
          <w:sz w:val="32"/>
          <w:szCs w:val="32"/>
        </w:rPr>
      </w:pPr>
      <w:r>
        <w:rPr>
          <w:rFonts w:hint="eastAsia" w:ascii="仿宋" w:hAnsi="仿宋" w:eastAsia="仿宋"/>
          <w:sz w:val="32"/>
          <w:szCs w:val="32"/>
        </w:rPr>
        <w:t>除以上情况外，卖方不予退货，如买方坚持退货，视为买方违约，按相关规定的标准扣除买方履约保证金。</w:t>
      </w:r>
    </w:p>
    <w:p w14:paraId="395C6FCB">
      <w:pPr>
        <w:widowControl/>
        <w:snapToGrid w:val="0"/>
        <w:spacing w:line="580" w:lineRule="atLeast"/>
        <w:ind w:firstLine="640" w:firstLineChars="200"/>
        <w:contextualSpacing/>
        <w:rPr>
          <w:rFonts w:hint="eastAsia" w:ascii="仿宋" w:hAnsi="仿宋" w:eastAsia="仿宋"/>
          <w:sz w:val="32"/>
          <w:szCs w:val="32"/>
        </w:rPr>
      </w:pPr>
      <w:r>
        <w:rPr>
          <w:rFonts w:hint="eastAsia" w:ascii="黑体" w:hAnsi="黑体" w:eastAsia="黑体"/>
          <w:sz w:val="32"/>
          <w:szCs w:val="32"/>
        </w:rPr>
        <w:t>第二十</w:t>
      </w:r>
      <w:r>
        <w:rPr>
          <w:rFonts w:hint="eastAsia" w:ascii="黑体" w:hAnsi="黑体" w:eastAsia="黑体"/>
          <w:sz w:val="32"/>
          <w:szCs w:val="32"/>
          <w:lang w:val="en-US" w:eastAsia="zh-CN"/>
        </w:rPr>
        <w:t>六</w:t>
      </w:r>
      <w:r>
        <w:rPr>
          <w:rFonts w:hint="eastAsia" w:ascii="黑体" w:hAnsi="黑体" w:eastAsia="黑体"/>
          <w:sz w:val="32"/>
          <w:szCs w:val="32"/>
        </w:rPr>
        <w:t xml:space="preserve">条  </w:t>
      </w:r>
      <w:r>
        <w:rPr>
          <w:rFonts w:hint="eastAsia" w:ascii="仿宋" w:hAnsi="仿宋" w:eastAsia="仿宋"/>
          <w:sz w:val="32"/>
          <w:szCs w:val="32"/>
        </w:rPr>
        <w:t>第三方检验认定质量重量存在较大差异的，重量差异或质量重新结算后差异超过1%时，经双方协商可自行重新结算货款，协商不成按行业协会公布的相关质量差价标准，由交易中心重新结算质量重量，差额从卖方质量重量保证金中扣除，不足部分买方有权直接向卖方继续追索。</w:t>
      </w:r>
    </w:p>
    <w:p w14:paraId="0CC8D7E1">
      <w:pPr>
        <w:widowControl/>
        <w:snapToGrid w:val="0"/>
        <w:spacing w:line="580" w:lineRule="atLeast"/>
        <w:ind w:firstLine="640" w:firstLineChars="200"/>
        <w:contextualSpacing/>
        <w:rPr>
          <w:rFonts w:hint="eastAsia" w:ascii="仿宋" w:hAnsi="仿宋" w:eastAsia="仿宋"/>
          <w:sz w:val="32"/>
          <w:szCs w:val="32"/>
        </w:rPr>
      </w:pPr>
    </w:p>
    <w:p w14:paraId="71BA7D47">
      <w:pPr>
        <w:pStyle w:val="10"/>
        <w:snapToGrid w:val="0"/>
        <w:spacing w:line="580" w:lineRule="atLeast"/>
        <w:ind w:firstLine="0" w:firstLineChars="0"/>
        <w:contextualSpacing/>
        <w:jc w:val="center"/>
        <w:rPr>
          <w:rFonts w:hint="eastAsia" w:ascii="黑体" w:hAnsi="黑体" w:eastAsia="黑体"/>
          <w:sz w:val="32"/>
          <w:szCs w:val="32"/>
        </w:rPr>
      </w:pPr>
      <w:bookmarkStart w:id="11" w:name="_Toc385256296"/>
      <w:r>
        <w:rPr>
          <w:rFonts w:hint="eastAsia" w:ascii="黑体" w:hAnsi="黑体" w:eastAsia="黑体"/>
          <w:sz w:val="32"/>
          <w:szCs w:val="32"/>
        </w:rPr>
        <w:t>第七章  违约责任</w:t>
      </w:r>
      <w:bookmarkEnd w:id="11"/>
    </w:p>
    <w:p w14:paraId="1C9E6413">
      <w:pPr>
        <w:snapToGrid w:val="0"/>
        <w:spacing w:line="580" w:lineRule="atLeast"/>
        <w:ind w:firstLine="555"/>
        <w:contextualSpacing/>
        <w:rPr>
          <w:rFonts w:hint="eastAsia" w:ascii="仿宋" w:hAnsi="仿宋" w:eastAsia="仿宋"/>
          <w:sz w:val="32"/>
          <w:szCs w:val="32"/>
        </w:rPr>
      </w:pPr>
      <w:r>
        <w:rPr>
          <w:rFonts w:hint="eastAsia" w:ascii="黑体" w:hAnsi="黑体" w:eastAsia="黑体"/>
          <w:sz w:val="32"/>
          <w:szCs w:val="32"/>
        </w:rPr>
        <w:t>第二十</w:t>
      </w:r>
      <w:r>
        <w:rPr>
          <w:rFonts w:hint="eastAsia" w:ascii="黑体" w:hAnsi="黑体" w:eastAsia="黑体"/>
          <w:sz w:val="32"/>
          <w:szCs w:val="32"/>
          <w:lang w:val="en-US" w:eastAsia="zh-CN"/>
        </w:rPr>
        <w:t>七</w:t>
      </w:r>
      <w:r>
        <w:rPr>
          <w:rFonts w:hint="eastAsia" w:ascii="黑体" w:hAnsi="黑体" w:eastAsia="黑体"/>
          <w:sz w:val="32"/>
          <w:szCs w:val="32"/>
        </w:rPr>
        <w:t xml:space="preserve">条  </w:t>
      </w:r>
      <w:r>
        <w:rPr>
          <w:rFonts w:hint="eastAsia" w:ascii="仿宋" w:hAnsi="仿宋" w:eastAsia="仿宋"/>
          <w:sz w:val="32"/>
          <w:szCs w:val="32"/>
        </w:rPr>
        <w:t>成交后，如一方违约，交易中心将违约方的履约保证金转为违约金付给守约方，交易终结。违约金不足以覆盖因违约行为产生的全部经济损失，守约方有权继续向违约方追索。</w:t>
      </w:r>
    </w:p>
    <w:p w14:paraId="71AD79C9">
      <w:pPr>
        <w:snapToGrid w:val="0"/>
        <w:spacing w:line="580" w:lineRule="atLeast"/>
        <w:ind w:firstLine="640" w:firstLineChars="200"/>
        <w:contextualSpacing/>
        <w:rPr>
          <w:rFonts w:hint="eastAsia" w:ascii="仿宋" w:hAnsi="仿宋" w:eastAsia="仿宋"/>
          <w:sz w:val="32"/>
          <w:szCs w:val="32"/>
        </w:rPr>
      </w:pPr>
      <w:r>
        <w:rPr>
          <w:rFonts w:hint="eastAsia" w:ascii="仿宋" w:hAnsi="仿宋" w:eastAsia="仿宋"/>
          <w:sz w:val="32"/>
          <w:szCs w:val="32"/>
        </w:rPr>
        <w:t>发生违约</w:t>
      </w:r>
      <w:r>
        <w:rPr>
          <w:rFonts w:hint="eastAsia" w:ascii="仿宋" w:hAnsi="仿宋" w:eastAsia="仿宋"/>
          <w:sz w:val="32"/>
          <w:szCs w:val="32"/>
          <w:lang w:val="en-US" w:eastAsia="zh-CN"/>
        </w:rPr>
        <w:t>的</w:t>
      </w:r>
      <w:r>
        <w:rPr>
          <w:rFonts w:hint="eastAsia" w:ascii="仿宋" w:hAnsi="仿宋" w:eastAsia="仿宋"/>
          <w:sz w:val="32"/>
          <w:szCs w:val="32"/>
        </w:rPr>
        <w:t>一方称为违约方，对应</w:t>
      </w:r>
      <w:r>
        <w:rPr>
          <w:rFonts w:hint="eastAsia" w:ascii="仿宋" w:hAnsi="仿宋" w:eastAsia="仿宋"/>
          <w:sz w:val="32"/>
          <w:szCs w:val="32"/>
          <w:lang w:val="en-US" w:eastAsia="zh-CN"/>
        </w:rPr>
        <w:t>另</w:t>
      </w:r>
      <w:r>
        <w:rPr>
          <w:rFonts w:hint="eastAsia" w:ascii="仿宋" w:hAnsi="仿宋" w:eastAsia="仿宋"/>
          <w:sz w:val="32"/>
          <w:szCs w:val="32"/>
        </w:rPr>
        <w:t>一方称为守约方。</w:t>
      </w:r>
    </w:p>
    <w:p w14:paraId="23C13D15">
      <w:pPr>
        <w:snapToGrid w:val="0"/>
        <w:spacing w:line="580" w:lineRule="atLeast"/>
        <w:ind w:firstLine="555"/>
        <w:contextualSpacing/>
        <w:rPr>
          <w:rFonts w:hint="eastAsia" w:ascii="仿宋" w:hAnsi="仿宋" w:eastAsia="仿宋"/>
          <w:sz w:val="32"/>
          <w:szCs w:val="32"/>
        </w:rPr>
      </w:pPr>
      <w:r>
        <w:rPr>
          <w:rFonts w:hint="eastAsia" w:ascii="黑体" w:hAnsi="黑体" w:eastAsia="黑体"/>
          <w:sz w:val="32"/>
          <w:szCs w:val="32"/>
        </w:rPr>
        <w:t>第二十</w:t>
      </w:r>
      <w:r>
        <w:rPr>
          <w:rFonts w:hint="eastAsia" w:ascii="黑体" w:hAnsi="黑体" w:eastAsia="黑体"/>
          <w:sz w:val="32"/>
          <w:szCs w:val="32"/>
          <w:lang w:val="en-US" w:eastAsia="zh-CN"/>
        </w:rPr>
        <w:t>八</w:t>
      </w:r>
      <w:r>
        <w:rPr>
          <w:rFonts w:hint="eastAsia" w:ascii="黑体" w:hAnsi="黑体" w:eastAsia="黑体"/>
          <w:sz w:val="32"/>
          <w:szCs w:val="32"/>
        </w:rPr>
        <w:t xml:space="preserve">条  </w:t>
      </w:r>
      <w:r>
        <w:rPr>
          <w:rFonts w:hint="eastAsia" w:ascii="仿宋" w:hAnsi="仿宋" w:eastAsia="仿宋"/>
          <w:sz w:val="32"/>
          <w:szCs w:val="32"/>
        </w:rPr>
        <w:t>卖方</w:t>
      </w:r>
      <w:r>
        <w:rPr>
          <w:rFonts w:hint="eastAsia" w:ascii="仿宋" w:hAnsi="仿宋" w:eastAsia="仿宋"/>
          <w:sz w:val="32"/>
          <w:szCs w:val="32"/>
          <w:lang w:val="en-US" w:eastAsia="zh-CN"/>
        </w:rPr>
        <w:t>存在</w:t>
      </w:r>
      <w:r>
        <w:rPr>
          <w:rFonts w:hint="eastAsia" w:ascii="仿宋" w:hAnsi="仿宋" w:eastAsia="仿宋"/>
          <w:sz w:val="32"/>
          <w:szCs w:val="32"/>
        </w:rPr>
        <w:t>下列行为之一的，视为违约：</w:t>
      </w:r>
    </w:p>
    <w:p w14:paraId="7591005E">
      <w:pPr>
        <w:widowControl/>
        <w:snapToGrid w:val="0"/>
        <w:spacing w:line="580" w:lineRule="atLeast"/>
        <w:ind w:firstLine="28"/>
        <w:contextualSpacing/>
        <w:rPr>
          <w:rFonts w:hint="eastAsia" w:ascii="仿宋" w:hAnsi="仿宋" w:eastAsia="仿宋"/>
          <w:sz w:val="32"/>
          <w:szCs w:val="32"/>
        </w:rPr>
      </w:pPr>
      <w:r>
        <w:rPr>
          <w:rFonts w:hint="eastAsia" w:ascii="仿宋" w:hAnsi="仿宋" w:eastAsia="仿宋"/>
          <w:sz w:val="32"/>
          <w:szCs w:val="32"/>
        </w:rPr>
        <w:t xml:space="preserve">    1、卖方交割货物与发布的商品信息不符，且未与买方达成一致的；</w:t>
      </w:r>
    </w:p>
    <w:p w14:paraId="57CBFC72">
      <w:pPr>
        <w:widowControl/>
        <w:snapToGrid w:val="0"/>
        <w:spacing w:line="580" w:lineRule="atLeast"/>
        <w:ind w:firstLine="28"/>
        <w:contextualSpacing/>
        <w:rPr>
          <w:rFonts w:hint="eastAsia" w:ascii="仿宋" w:hAnsi="仿宋" w:eastAsia="仿宋"/>
          <w:sz w:val="32"/>
          <w:szCs w:val="32"/>
        </w:rPr>
      </w:pPr>
      <w:r>
        <w:rPr>
          <w:rFonts w:hint="eastAsia" w:ascii="仿宋" w:hAnsi="仿宋" w:eastAsia="仿宋"/>
          <w:sz w:val="32"/>
          <w:szCs w:val="32"/>
        </w:rPr>
        <w:t xml:space="preserve">    2、有证据证明买卖双方一致同意变更合同，但卖方未按变更后合同履行的；</w:t>
      </w:r>
    </w:p>
    <w:p w14:paraId="36B3E430">
      <w:pPr>
        <w:widowControl/>
        <w:snapToGrid w:val="0"/>
        <w:spacing w:line="580" w:lineRule="atLeast"/>
        <w:ind w:firstLine="681" w:firstLineChars="213"/>
        <w:contextualSpacing/>
        <w:rPr>
          <w:rFonts w:hint="eastAsia" w:ascii="仿宋" w:hAnsi="仿宋" w:eastAsia="仿宋"/>
          <w:sz w:val="32"/>
          <w:szCs w:val="32"/>
        </w:rPr>
      </w:pPr>
      <w:r>
        <w:rPr>
          <w:rFonts w:hint="eastAsia" w:ascii="仿宋" w:hAnsi="仿宋" w:eastAsia="仿宋"/>
          <w:sz w:val="32"/>
          <w:szCs w:val="32"/>
        </w:rPr>
        <w:t>3、卖方的仓单已纳入银行委托</w:t>
      </w:r>
      <w:r>
        <w:rPr>
          <w:rFonts w:hint="eastAsia" w:ascii="仿宋" w:hAnsi="仿宋" w:eastAsia="仿宋"/>
          <w:sz w:val="32"/>
          <w:szCs w:val="32"/>
          <w:lang w:val="en-US" w:eastAsia="zh-CN"/>
        </w:rPr>
        <w:t>全国棉花</w:t>
      </w:r>
      <w:r>
        <w:rPr>
          <w:rFonts w:hint="eastAsia" w:ascii="仿宋" w:hAnsi="仿宋" w:eastAsia="仿宋"/>
          <w:sz w:val="32"/>
          <w:szCs w:val="32"/>
        </w:rPr>
        <w:t>交易市场监管范围，因卖方原因导致交易</w:t>
      </w:r>
      <w:r>
        <w:rPr>
          <w:rFonts w:hint="eastAsia" w:ascii="仿宋" w:hAnsi="仿宋" w:eastAsia="仿宋"/>
          <w:sz w:val="32"/>
          <w:szCs w:val="32"/>
          <w:lang w:val="en-US" w:eastAsia="zh-CN"/>
        </w:rPr>
        <w:t>中心</w:t>
      </w:r>
      <w:r>
        <w:rPr>
          <w:rFonts w:hint="eastAsia" w:ascii="仿宋" w:hAnsi="仿宋" w:eastAsia="仿宋"/>
          <w:sz w:val="32"/>
          <w:szCs w:val="32"/>
        </w:rPr>
        <w:t>无法见证、银行不同意解除监管的；或因卖方欠仓库费用或存在纠纷等原因导致交易</w:t>
      </w:r>
      <w:r>
        <w:rPr>
          <w:rFonts w:hint="eastAsia" w:ascii="仿宋" w:hAnsi="仿宋" w:eastAsia="仿宋"/>
          <w:sz w:val="32"/>
          <w:szCs w:val="32"/>
          <w:lang w:val="en-US" w:eastAsia="zh-CN"/>
        </w:rPr>
        <w:t>中心</w:t>
      </w:r>
      <w:r>
        <w:rPr>
          <w:rFonts w:hint="eastAsia" w:ascii="仿宋" w:hAnsi="仿宋" w:eastAsia="仿宋"/>
          <w:sz w:val="32"/>
          <w:szCs w:val="32"/>
        </w:rPr>
        <w:t>无法见证、仓单无法完成过户、买方无法顺利提货的</w:t>
      </w:r>
      <w:r>
        <w:rPr>
          <w:rFonts w:hint="eastAsia" w:ascii="仿宋" w:hAnsi="仿宋" w:eastAsia="仿宋"/>
          <w:sz w:val="32"/>
          <w:szCs w:val="32"/>
          <w:lang w:eastAsia="zh-CN"/>
        </w:rPr>
        <w:t>。</w:t>
      </w:r>
      <w:r>
        <w:rPr>
          <w:rFonts w:hint="eastAsia" w:ascii="仿宋" w:hAnsi="仿宋" w:eastAsia="仿宋"/>
          <w:sz w:val="32"/>
          <w:szCs w:val="32"/>
        </w:rPr>
        <w:t>卖方须在买方付款后5个工作日内解决上述问题。如卖方逾期未解决上述问题，视为卖方违约，交易中心有权将仓单中未解除监管部分所对应的货款退还买方，卖方应承担买方因此遭受的损失，损失金额及支付方式由买卖双方自行协商确定。</w:t>
      </w:r>
    </w:p>
    <w:p w14:paraId="60D7033C">
      <w:pPr>
        <w:widowControl/>
        <w:snapToGrid w:val="0"/>
        <w:spacing w:line="580" w:lineRule="atLeast"/>
        <w:ind w:firstLine="28"/>
        <w:contextualSpacing/>
        <w:rPr>
          <w:rFonts w:hint="eastAsia" w:ascii="仿宋" w:hAnsi="仿宋" w:eastAsia="仿宋"/>
          <w:sz w:val="32"/>
          <w:szCs w:val="32"/>
        </w:rPr>
      </w:pPr>
      <w:r>
        <w:rPr>
          <w:rFonts w:hint="eastAsia" w:ascii="仿宋" w:hAnsi="仿宋" w:eastAsia="仿宋"/>
          <w:sz w:val="32"/>
          <w:szCs w:val="32"/>
        </w:rPr>
        <w:t xml:space="preserve">   4、卖方的其它违约行为。</w:t>
      </w:r>
    </w:p>
    <w:p w14:paraId="62B466A0">
      <w:pPr>
        <w:snapToGrid w:val="0"/>
        <w:spacing w:line="580" w:lineRule="atLeast"/>
        <w:ind w:firstLine="640" w:firstLineChars="200"/>
        <w:contextualSpacing/>
        <w:rPr>
          <w:rFonts w:hint="eastAsia" w:ascii="仿宋" w:hAnsi="仿宋" w:eastAsia="仿宋"/>
          <w:sz w:val="32"/>
          <w:szCs w:val="32"/>
        </w:rPr>
      </w:pPr>
      <w:bookmarkStart w:id="12" w:name="_Toc414307636"/>
      <w:bookmarkStart w:id="13" w:name="_Toc414308901"/>
      <w:bookmarkStart w:id="14" w:name="_Toc414896588"/>
      <w:bookmarkStart w:id="15" w:name="_Toc385256297"/>
      <w:r>
        <w:rPr>
          <w:rFonts w:hint="eastAsia" w:ascii="黑体" w:hAnsi="黑体" w:eastAsia="黑体"/>
          <w:sz w:val="32"/>
          <w:szCs w:val="32"/>
        </w:rPr>
        <w:t>第二十</w:t>
      </w:r>
      <w:r>
        <w:rPr>
          <w:rFonts w:hint="eastAsia" w:ascii="黑体" w:hAnsi="黑体" w:eastAsia="黑体"/>
          <w:sz w:val="32"/>
          <w:szCs w:val="32"/>
          <w:lang w:val="en-US" w:eastAsia="zh-CN"/>
        </w:rPr>
        <w:t>九</w:t>
      </w:r>
      <w:r>
        <w:rPr>
          <w:rFonts w:hint="eastAsia" w:ascii="黑体" w:hAnsi="黑体" w:eastAsia="黑体"/>
          <w:sz w:val="32"/>
          <w:szCs w:val="32"/>
        </w:rPr>
        <w:t xml:space="preserve">条 </w:t>
      </w:r>
      <w:r>
        <w:rPr>
          <w:rFonts w:hint="eastAsia" w:ascii="仿宋" w:hAnsi="仿宋" w:eastAsia="仿宋"/>
          <w:sz w:val="32"/>
          <w:szCs w:val="32"/>
        </w:rPr>
        <w:t xml:space="preserve"> 买方</w:t>
      </w:r>
      <w:r>
        <w:rPr>
          <w:rFonts w:hint="eastAsia" w:ascii="仿宋" w:hAnsi="仿宋" w:eastAsia="仿宋"/>
          <w:sz w:val="32"/>
          <w:szCs w:val="32"/>
          <w:lang w:val="en-US" w:eastAsia="zh-CN"/>
        </w:rPr>
        <w:t>存在</w:t>
      </w:r>
      <w:r>
        <w:rPr>
          <w:rFonts w:hint="eastAsia" w:ascii="仿宋" w:hAnsi="仿宋" w:eastAsia="仿宋"/>
          <w:sz w:val="32"/>
          <w:szCs w:val="32"/>
        </w:rPr>
        <w:t>下列行为之一的，视为违约：</w:t>
      </w:r>
      <w:bookmarkEnd w:id="12"/>
      <w:bookmarkEnd w:id="13"/>
      <w:bookmarkEnd w:id="14"/>
      <w:bookmarkEnd w:id="15"/>
    </w:p>
    <w:p w14:paraId="7CFDEF8D">
      <w:pPr>
        <w:snapToGrid w:val="0"/>
        <w:spacing w:line="580" w:lineRule="atLeast"/>
        <w:ind w:firstLine="28"/>
        <w:contextualSpacing/>
        <w:rPr>
          <w:rFonts w:hint="eastAsia" w:ascii="仿宋" w:hAnsi="仿宋" w:eastAsia="仿宋"/>
          <w:sz w:val="32"/>
          <w:szCs w:val="32"/>
        </w:rPr>
      </w:pPr>
      <w:r>
        <w:rPr>
          <w:rFonts w:hint="eastAsia" w:ascii="仿宋" w:hAnsi="仿宋" w:eastAsia="仿宋"/>
          <w:sz w:val="32"/>
          <w:szCs w:val="32"/>
        </w:rPr>
        <w:t xml:space="preserve">    1、买方成交后无正当理由单方要求取消本次交易；</w:t>
      </w:r>
    </w:p>
    <w:p w14:paraId="60AAD305">
      <w:pPr>
        <w:snapToGrid w:val="0"/>
        <w:spacing w:line="580" w:lineRule="atLeast"/>
        <w:ind w:firstLine="28"/>
        <w:contextualSpacing/>
        <w:rPr>
          <w:rFonts w:hint="eastAsia" w:ascii="仿宋" w:hAnsi="仿宋" w:eastAsia="仿宋"/>
          <w:sz w:val="32"/>
          <w:szCs w:val="32"/>
        </w:rPr>
      </w:pPr>
      <w:r>
        <w:rPr>
          <w:rFonts w:hint="eastAsia" w:ascii="仿宋" w:hAnsi="仿宋" w:eastAsia="仿宋"/>
          <w:sz w:val="32"/>
          <w:szCs w:val="32"/>
        </w:rPr>
        <w:t xml:space="preserve">    2、合同成交后，买方无法在规定的时间内支付货款且未能与卖方达成一致的；</w:t>
      </w:r>
    </w:p>
    <w:p w14:paraId="6BC30D94">
      <w:pPr>
        <w:snapToGrid w:val="0"/>
        <w:spacing w:line="580" w:lineRule="atLeast"/>
        <w:ind w:firstLine="28"/>
        <w:contextualSpacing/>
        <w:rPr>
          <w:rFonts w:hint="eastAsia" w:ascii="仿宋" w:hAnsi="仿宋" w:eastAsia="仿宋"/>
          <w:sz w:val="32"/>
          <w:szCs w:val="32"/>
        </w:rPr>
      </w:pPr>
      <w:r>
        <w:rPr>
          <w:rFonts w:hint="eastAsia" w:ascii="仿宋" w:hAnsi="仿宋" w:eastAsia="仿宋"/>
          <w:sz w:val="32"/>
          <w:szCs w:val="32"/>
        </w:rPr>
        <w:t xml:space="preserve">    3、有证据证明买卖双方一致同意变更合同，但买方未按变更后合同履行的；</w:t>
      </w:r>
    </w:p>
    <w:p w14:paraId="35408A02">
      <w:pPr>
        <w:snapToGrid w:val="0"/>
        <w:spacing w:line="580" w:lineRule="atLeast"/>
        <w:ind w:firstLine="28"/>
        <w:contextualSpacing/>
        <w:rPr>
          <w:rFonts w:hint="eastAsia" w:ascii="仿宋" w:hAnsi="仿宋" w:eastAsia="仿宋"/>
          <w:sz w:val="32"/>
          <w:szCs w:val="32"/>
        </w:rPr>
      </w:pPr>
      <w:r>
        <w:rPr>
          <w:rFonts w:hint="eastAsia" w:ascii="仿宋" w:hAnsi="仿宋" w:eastAsia="仿宋"/>
          <w:sz w:val="32"/>
          <w:szCs w:val="32"/>
        </w:rPr>
        <w:t xml:space="preserve">    4、买方的其他违约行为。</w:t>
      </w:r>
    </w:p>
    <w:p w14:paraId="429E631E">
      <w:pPr>
        <w:snapToGrid w:val="0"/>
        <w:spacing w:line="580" w:lineRule="atLeast"/>
        <w:ind w:firstLine="640" w:firstLineChars="200"/>
        <w:contextualSpacing/>
        <w:rPr>
          <w:rFonts w:hint="eastAsia" w:ascii="仿宋" w:hAnsi="仿宋" w:eastAsia="仿宋"/>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三十</w:t>
      </w:r>
      <w:r>
        <w:rPr>
          <w:rFonts w:hint="eastAsia" w:ascii="黑体" w:hAnsi="黑体" w:eastAsia="黑体"/>
          <w:sz w:val="32"/>
          <w:szCs w:val="32"/>
        </w:rPr>
        <w:t>条</w:t>
      </w:r>
      <w:r>
        <w:rPr>
          <w:rFonts w:hint="eastAsia" w:ascii="仿宋" w:hAnsi="仿宋" w:eastAsia="仿宋"/>
          <w:sz w:val="32"/>
          <w:szCs w:val="32"/>
        </w:rPr>
        <w:t xml:space="preserve">  对于违约方的违约行为，交易中心视情况采取以下措施：</w:t>
      </w:r>
    </w:p>
    <w:p w14:paraId="60E66430">
      <w:pPr>
        <w:snapToGrid w:val="0"/>
        <w:spacing w:line="580" w:lineRule="atLeast"/>
        <w:ind w:firstLine="28"/>
        <w:contextualSpacing/>
        <w:rPr>
          <w:rFonts w:hint="eastAsia" w:ascii="仿宋" w:hAnsi="仿宋" w:eastAsia="仿宋"/>
          <w:sz w:val="32"/>
          <w:szCs w:val="32"/>
        </w:rPr>
      </w:pPr>
      <w:r>
        <w:rPr>
          <w:rFonts w:hint="eastAsia" w:ascii="仿宋" w:hAnsi="仿宋" w:eastAsia="仿宋"/>
          <w:sz w:val="32"/>
          <w:szCs w:val="32"/>
        </w:rPr>
        <w:t xml:space="preserve">    1、暂停合同执行；</w:t>
      </w:r>
    </w:p>
    <w:p w14:paraId="009586C9">
      <w:pPr>
        <w:snapToGrid w:val="0"/>
        <w:spacing w:line="580" w:lineRule="atLeast"/>
        <w:ind w:firstLine="28"/>
        <w:contextualSpacing/>
        <w:rPr>
          <w:rFonts w:hint="eastAsia" w:ascii="仿宋" w:hAnsi="仿宋" w:eastAsia="仿宋"/>
          <w:sz w:val="32"/>
          <w:szCs w:val="32"/>
        </w:rPr>
      </w:pPr>
      <w:r>
        <w:rPr>
          <w:rFonts w:hint="eastAsia" w:ascii="仿宋" w:hAnsi="仿宋" w:eastAsia="仿宋"/>
          <w:sz w:val="32"/>
          <w:szCs w:val="32"/>
        </w:rPr>
        <w:t xml:space="preserve">    2、暂扣违约方的履约保证金或货款，同时限制违约方办理出金；</w:t>
      </w:r>
    </w:p>
    <w:p w14:paraId="4CB45764">
      <w:pPr>
        <w:snapToGrid w:val="0"/>
        <w:spacing w:line="580" w:lineRule="atLeast"/>
        <w:ind w:firstLine="28"/>
        <w:contextualSpacing/>
        <w:rPr>
          <w:rFonts w:hint="eastAsia" w:ascii="仿宋" w:hAnsi="仿宋" w:eastAsia="仿宋"/>
          <w:sz w:val="32"/>
          <w:szCs w:val="32"/>
        </w:rPr>
      </w:pPr>
      <w:r>
        <w:rPr>
          <w:rFonts w:hint="eastAsia" w:ascii="仿宋" w:hAnsi="仿宋" w:eastAsia="仿宋"/>
          <w:sz w:val="32"/>
          <w:szCs w:val="32"/>
        </w:rPr>
        <w:t xml:space="preserve">    3、督促违约方按照本办法、交易中心另行发布的通知和合同约定承担相应的违约责任：向守约方支付违约金，违约金不足以覆盖因违约行为产生的全部经济损失，守约方有权继续向违约方追索；</w:t>
      </w:r>
    </w:p>
    <w:p w14:paraId="6EC040B0">
      <w:pPr>
        <w:snapToGrid w:val="0"/>
        <w:spacing w:line="580" w:lineRule="atLeast"/>
        <w:ind w:firstLine="28"/>
        <w:contextualSpacing/>
        <w:rPr>
          <w:rFonts w:hint="eastAsia" w:ascii="仿宋" w:hAnsi="仿宋" w:eastAsia="仿宋"/>
          <w:sz w:val="32"/>
          <w:szCs w:val="32"/>
        </w:rPr>
      </w:pPr>
      <w:r>
        <w:rPr>
          <w:rFonts w:hint="eastAsia" w:ascii="仿宋" w:hAnsi="仿宋" w:eastAsia="仿宋"/>
          <w:sz w:val="32"/>
          <w:szCs w:val="32"/>
        </w:rPr>
        <w:t xml:space="preserve">    4、交易中心必要时可以按照本办法、交易中心另行发布的通知和合同约定，直接从违约方的可用资金账户中划扣违约金给守约方。</w:t>
      </w:r>
    </w:p>
    <w:p w14:paraId="60DCF9BC">
      <w:pPr>
        <w:snapToGrid w:val="0"/>
        <w:spacing w:line="580" w:lineRule="atLeast"/>
        <w:ind w:firstLine="640" w:firstLineChars="200"/>
        <w:contextualSpacing/>
        <w:rPr>
          <w:rFonts w:hint="eastAsia" w:ascii="仿宋" w:hAnsi="仿宋" w:eastAsia="仿宋"/>
          <w:sz w:val="32"/>
          <w:szCs w:val="32"/>
        </w:rPr>
      </w:pPr>
      <w:r>
        <w:rPr>
          <w:rFonts w:hint="eastAsia" w:ascii="仿宋" w:hAnsi="仿宋" w:eastAsia="仿宋"/>
          <w:sz w:val="32"/>
          <w:szCs w:val="32"/>
        </w:rPr>
        <w:t>5、如卖方成交商品为仓单，且账户中资金不足以覆盖违约金</w:t>
      </w:r>
      <w:r>
        <w:rPr>
          <w:rFonts w:hint="eastAsia" w:ascii="仿宋" w:hAnsi="仿宋" w:eastAsia="仿宋"/>
          <w:sz w:val="32"/>
          <w:szCs w:val="32"/>
          <w:lang w:val="en-US" w:eastAsia="zh-CN"/>
        </w:rPr>
        <w:t>和手续费</w:t>
      </w:r>
      <w:r>
        <w:rPr>
          <w:rFonts w:hint="eastAsia" w:ascii="仿宋" w:hAnsi="仿宋" w:eastAsia="仿宋"/>
          <w:sz w:val="32"/>
          <w:szCs w:val="32"/>
        </w:rPr>
        <w:t>，则卖方补足违约金</w:t>
      </w:r>
      <w:r>
        <w:rPr>
          <w:rFonts w:hint="eastAsia" w:ascii="仿宋" w:hAnsi="仿宋" w:eastAsia="仿宋"/>
          <w:sz w:val="32"/>
          <w:szCs w:val="32"/>
          <w:lang w:val="en-US" w:eastAsia="zh-CN"/>
        </w:rPr>
        <w:t>和手续费</w:t>
      </w:r>
      <w:r>
        <w:rPr>
          <w:rFonts w:hint="eastAsia" w:ascii="仿宋" w:hAnsi="仿宋" w:eastAsia="仿宋"/>
          <w:sz w:val="32"/>
          <w:szCs w:val="32"/>
        </w:rPr>
        <w:t>后方可解除对应仓单的冻结。</w:t>
      </w:r>
    </w:p>
    <w:p w14:paraId="7CDF78B2">
      <w:pPr>
        <w:snapToGrid w:val="0"/>
        <w:spacing w:line="580" w:lineRule="atLeast"/>
        <w:ind w:firstLine="28"/>
        <w:contextualSpacing/>
        <w:rPr>
          <w:rFonts w:hint="eastAsia" w:ascii="仿宋" w:hAnsi="仿宋" w:eastAsia="仿宋"/>
          <w:sz w:val="32"/>
          <w:szCs w:val="32"/>
        </w:rPr>
      </w:pPr>
    </w:p>
    <w:p w14:paraId="478D32CD">
      <w:pPr>
        <w:pStyle w:val="10"/>
        <w:snapToGrid w:val="0"/>
        <w:spacing w:line="580" w:lineRule="atLeast"/>
        <w:ind w:firstLine="0" w:firstLineChars="0"/>
        <w:contextualSpacing/>
        <w:jc w:val="center"/>
        <w:rPr>
          <w:rFonts w:hint="eastAsia" w:ascii="黑体" w:hAnsi="黑体" w:eastAsia="黑体"/>
          <w:sz w:val="32"/>
          <w:szCs w:val="32"/>
        </w:rPr>
      </w:pPr>
      <w:bookmarkStart w:id="16" w:name="_Toc192917554"/>
      <w:bookmarkStart w:id="17" w:name="_Toc191556355"/>
      <w:bookmarkStart w:id="18" w:name="_Toc385256298"/>
      <w:r>
        <w:rPr>
          <w:rFonts w:hint="eastAsia" w:ascii="黑体" w:hAnsi="黑体" w:eastAsia="黑体"/>
          <w:sz w:val="32"/>
          <w:szCs w:val="32"/>
        </w:rPr>
        <w:t>第八章  附则</w:t>
      </w:r>
      <w:bookmarkEnd w:id="16"/>
      <w:bookmarkEnd w:id="17"/>
      <w:bookmarkEnd w:id="18"/>
    </w:p>
    <w:p w14:paraId="3AC0B81C">
      <w:pPr>
        <w:snapToGrid w:val="0"/>
        <w:spacing w:line="580" w:lineRule="atLeast"/>
        <w:ind w:firstLine="612"/>
        <w:contextualSpacing/>
        <w:rPr>
          <w:rFonts w:hint="eastAsia" w:ascii="仿宋" w:hAnsi="仿宋" w:eastAsia="仿宋"/>
          <w:sz w:val="32"/>
          <w:szCs w:val="32"/>
        </w:rPr>
      </w:pPr>
      <w:r>
        <w:rPr>
          <w:rFonts w:hint="eastAsia" w:ascii="黑体" w:hAnsi="黑体" w:eastAsia="黑体"/>
          <w:sz w:val="32"/>
          <w:szCs w:val="32"/>
        </w:rPr>
        <w:t>第三十</w:t>
      </w:r>
      <w:r>
        <w:rPr>
          <w:rFonts w:hint="eastAsia" w:ascii="黑体" w:hAnsi="黑体" w:eastAsia="黑体"/>
          <w:sz w:val="32"/>
          <w:szCs w:val="32"/>
          <w:lang w:val="en-US" w:eastAsia="zh-CN"/>
        </w:rPr>
        <w:t>一</w:t>
      </w:r>
      <w:r>
        <w:rPr>
          <w:rFonts w:hint="eastAsia" w:ascii="黑体" w:hAnsi="黑体" w:eastAsia="黑体"/>
          <w:sz w:val="32"/>
          <w:szCs w:val="32"/>
        </w:rPr>
        <w:t>条</w:t>
      </w:r>
      <w:r>
        <w:rPr>
          <w:rFonts w:hint="eastAsia" w:ascii="仿宋" w:hAnsi="仿宋" w:eastAsia="仿宋"/>
          <w:sz w:val="32"/>
          <w:szCs w:val="32"/>
        </w:rPr>
        <w:t xml:space="preserve">  </w:t>
      </w:r>
      <w:r>
        <w:rPr>
          <w:rFonts w:hint="eastAsia" w:ascii="仿宋" w:hAnsi="仿宋" w:eastAsia="仿宋" w:cs="仿宋"/>
          <w:sz w:val="32"/>
          <w:szCs w:val="32"/>
        </w:rPr>
        <w:t>现货挂牌</w:t>
      </w:r>
      <w:r>
        <w:rPr>
          <w:rFonts w:hint="eastAsia" w:ascii="仿宋" w:hAnsi="仿宋" w:eastAsia="仿宋"/>
          <w:sz w:val="32"/>
          <w:szCs w:val="32"/>
        </w:rPr>
        <w:t>交易交割过程中，本办法已有规定的，按本办法有关规定执行；本办法未做规定的，由交易中心本着“公平、公正”的原则予以调解协商处理。调解不成的，任何一方均可向合同签订地有管辖权的人民法院提起法律诉讼。</w:t>
      </w:r>
    </w:p>
    <w:p w14:paraId="55E474B9">
      <w:pPr>
        <w:snapToGrid w:val="0"/>
        <w:spacing w:line="580" w:lineRule="atLeast"/>
        <w:ind w:firstLine="640" w:firstLineChars="200"/>
        <w:contextualSpacing/>
        <w:rPr>
          <w:rFonts w:hint="eastAsia" w:ascii="仿宋" w:hAnsi="仿宋" w:eastAsia="仿宋"/>
          <w:sz w:val="32"/>
          <w:szCs w:val="32"/>
        </w:rPr>
      </w:pPr>
      <w:r>
        <w:rPr>
          <w:rFonts w:hint="eastAsia" w:ascii="黑体" w:hAnsi="黑体" w:eastAsia="黑体"/>
          <w:sz w:val="32"/>
          <w:szCs w:val="32"/>
        </w:rPr>
        <w:t>第三十</w:t>
      </w:r>
      <w:r>
        <w:rPr>
          <w:rFonts w:hint="eastAsia" w:ascii="黑体" w:hAnsi="黑体" w:eastAsia="黑体"/>
          <w:sz w:val="32"/>
          <w:szCs w:val="32"/>
          <w:lang w:val="en-US" w:eastAsia="zh-CN"/>
        </w:rPr>
        <w:t>二</w:t>
      </w:r>
      <w:r>
        <w:rPr>
          <w:rFonts w:hint="eastAsia" w:ascii="黑体" w:hAnsi="黑体" w:eastAsia="黑体"/>
          <w:sz w:val="32"/>
          <w:szCs w:val="32"/>
        </w:rPr>
        <w:t>条</w:t>
      </w:r>
      <w:r>
        <w:rPr>
          <w:rFonts w:hint="eastAsia" w:ascii="仿宋" w:hAnsi="仿宋" w:eastAsia="仿宋"/>
          <w:sz w:val="32"/>
          <w:szCs w:val="32"/>
        </w:rPr>
        <w:t xml:space="preserve">  本办法由交易中心负责解释和修改。如交易参与方与交易中心就本办法各条款的理解、解释、执行等发生争议，应通过协商解决；如协商不一致，可向交易中心所在地有管辖权的人民法院提起诉讼。在争议协商或诉讼期间，不停止本办法的执行。</w:t>
      </w:r>
    </w:p>
    <w:p w14:paraId="63A23084">
      <w:pPr>
        <w:snapToGrid w:val="0"/>
        <w:spacing w:line="580" w:lineRule="atLeast"/>
        <w:ind w:firstLine="612"/>
        <w:contextualSpacing/>
      </w:pPr>
      <w:r>
        <w:rPr>
          <w:rFonts w:hint="eastAsia" w:ascii="黑体" w:hAnsi="黑体" w:eastAsia="黑体"/>
          <w:sz w:val="32"/>
          <w:szCs w:val="32"/>
        </w:rPr>
        <w:t>第三十</w:t>
      </w:r>
      <w:r>
        <w:rPr>
          <w:rFonts w:hint="eastAsia" w:ascii="黑体" w:hAnsi="黑体" w:eastAsia="黑体"/>
          <w:sz w:val="32"/>
          <w:szCs w:val="32"/>
          <w:lang w:val="en-US" w:eastAsia="zh-CN"/>
        </w:rPr>
        <w:t>三</w:t>
      </w:r>
      <w:r>
        <w:rPr>
          <w:rFonts w:hint="eastAsia" w:ascii="黑体" w:hAnsi="黑体" w:eastAsia="黑体"/>
          <w:sz w:val="32"/>
          <w:szCs w:val="32"/>
        </w:rPr>
        <w:t xml:space="preserve">条  </w:t>
      </w:r>
      <w:r>
        <w:rPr>
          <w:rFonts w:hint="eastAsia" w:ascii="仿宋" w:hAnsi="仿宋" w:eastAsia="仿宋"/>
          <w:sz w:val="32"/>
          <w:szCs w:val="32"/>
        </w:rPr>
        <w:t>本办法自发布之日起生效。</w:t>
      </w:r>
    </w:p>
    <w:sectPr>
      <w:pgSz w:w="11906" w:h="16838"/>
      <w:pgMar w:top="1440" w:right="1746"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62"/>
    <w:rsid w:val="00174619"/>
    <w:rsid w:val="001878E3"/>
    <w:rsid w:val="003B4662"/>
    <w:rsid w:val="00771813"/>
    <w:rsid w:val="00D86DEB"/>
    <w:rsid w:val="00DB4963"/>
    <w:rsid w:val="024763FB"/>
    <w:rsid w:val="04C01CEF"/>
    <w:rsid w:val="07907C23"/>
    <w:rsid w:val="09FF4A0E"/>
    <w:rsid w:val="0AC459AA"/>
    <w:rsid w:val="0D142B2D"/>
    <w:rsid w:val="0F3D3F7D"/>
    <w:rsid w:val="11537A88"/>
    <w:rsid w:val="12F37E29"/>
    <w:rsid w:val="14495172"/>
    <w:rsid w:val="159F4144"/>
    <w:rsid w:val="15A765F4"/>
    <w:rsid w:val="1606331B"/>
    <w:rsid w:val="19520625"/>
    <w:rsid w:val="1B811C42"/>
    <w:rsid w:val="1BF70B1B"/>
    <w:rsid w:val="1C204A0A"/>
    <w:rsid w:val="1E780B2E"/>
    <w:rsid w:val="21F26FAA"/>
    <w:rsid w:val="229C7559"/>
    <w:rsid w:val="22B355F5"/>
    <w:rsid w:val="238D507B"/>
    <w:rsid w:val="23BA516A"/>
    <w:rsid w:val="242E1C8E"/>
    <w:rsid w:val="24765B0F"/>
    <w:rsid w:val="24CE1059"/>
    <w:rsid w:val="25034EC9"/>
    <w:rsid w:val="270B6293"/>
    <w:rsid w:val="29863A38"/>
    <w:rsid w:val="29AD6028"/>
    <w:rsid w:val="2DF06A60"/>
    <w:rsid w:val="327C65C3"/>
    <w:rsid w:val="33001AC6"/>
    <w:rsid w:val="33CD3272"/>
    <w:rsid w:val="36436521"/>
    <w:rsid w:val="366A6A19"/>
    <w:rsid w:val="3C667DC0"/>
    <w:rsid w:val="3D51281E"/>
    <w:rsid w:val="3E813F6C"/>
    <w:rsid w:val="3FB05F21"/>
    <w:rsid w:val="42390CB7"/>
    <w:rsid w:val="45E35D8E"/>
    <w:rsid w:val="462F1A6E"/>
    <w:rsid w:val="46F04E55"/>
    <w:rsid w:val="47EA7AF7"/>
    <w:rsid w:val="4BE3142D"/>
    <w:rsid w:val="4D3D31CD"/>
    <w:rsid w:val="512206C5"/>
    <w:rsid w:val="51A76B98"/>
    <w:rsid w:val="51E17519"/>
    <w:rsid w:val="521317A8"/>
    <w:rsid w:val="54825D96"/>
    <w:rsid w:val="55133C26"/>
    <w:rsid w:val="59964469"/>
    <w:rsid w:val="5A0D2714"/>
    <w:rsid w:val="5B3D2AF8"/>
    <w:rsid w:val="5F3C2ED6"/>
    <w:rsid w:val="62265778"/>
    <w:rsid w:val="629A2B7E"/>
    <w:rsid w:val="64371EBE"/>
    <w:rsid w:val="64B74DAD"/>
    <w:rsid w:val="64E8140A"/>
    <w:rsid w:val="665B00D9"/>
    <w:rsid w:val="683C30E0"/>
    <w:rsid w:val="6A3F7D1E"/>
    <w:rsid w:val="6A810341"/>
    <w:rsid w:val="6C4C5327"/>
    <w:rsid w:val="6C5F6969"/>
    <w:rsid w:val="6E7471F3"/>
    <w:rsid w:val="6EB1286D"/>
    <w:rsid w:val="722E4900"/>
    <w:rsid w:val="745368A0"/>
    <w:rsid w:val="75147012"/>
    <w:rsid w:val="76257DC8"/>
    <w:rsid w:val="7722255A"/>
    <w:rsid w:val="775C0786"/>
    <w:rsid w:val="79092CCD"/>
    <w:rsid w:val="7B742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unhideWhenUsed/>
    <w:qFormat/>
    <w:uiPriority w:val="99"/>
    <w:pPr>
      <w:spacing w:after="120"/>
    </w:pPr>
    <w:rPr>
      <w:kern w:val="0"/>
      <w:sz w:val="20"/>
      <w:szCs w:val="20"/>
    </w:rPr>
  </w:style>
  <w:style w:type="paragraph" w:styleId="4">
    <w:name w:val="Body Text Indent"/>
    <w:basedOn w:val="1"/>
    <w:qFormat/>
    <w:uiPriority w:val="99"/>
    <w:pPr>
      <w:snapToGrid w:val="0"/>
      <w:spacing w:line="560" w:lineRule="atLeast"/>
      <w:ind w:left="570"/>
    </w:pPr>
    <w:rPr>
      <w:rFonts w:ascii="仿宋_GB2312" w:hAnsi="Times New Roman" w:eastAsia="仿宋_GB2312"/>
      <w:b/>
      <w:kern w:val="0"/>
      <w:sz w:val="30"/>
      <w:szCs w:val="20"/>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tabs>
        <w:tab w:val="center" w:pos="4153"/>
        <w:tab w:val="right" w:pos="8306"/>
      </w:tabs>
      <w:snapToGrid w:val="0"/>
      <w:jc w:val="center"/>
    </w:pPr>
    <w:rPr>
      <w:sz w:val="18"/>
      <w:szCs w:val="18"/>
    </w:rPr>
  </w:style>
  <w:style w:type="paragraph" w:styleId="7">
    <w:name w:val="Title"/>
    <w:basedOn w:val="1"/>
    <w:next w:val="1"/>
    <w:qFormat/>
    <w:uiPriority w:val="10"/>
    <w:pPr>
      <w:spacing w:before="240" w:after="60" w:line="560" w:lineRule="atLeast"/>
      <w:jc w:val="center"/>
      <w:outlineLvl w:val="0"/>
    </w:pPr>
    <w:rPr>
      <w:rFonts w:ascii="Cambria" w:hAnsi="Cambria"/>
      <w:b/>
      <w:bCs/>
      <w:kern w:val="0"/>
      <w:sz w:val="44"/>
      <w:szCs w:val="32"/>
    </w:rPr>
  </w:style>
  <w:style w:type="paragraph" w:styleId="10">
    <w:name w:val="List Paragraph"/>
    <w:basedOn w:val="1"/>
    <w:qFormat/>
    <w:uiPriority w:val="34"/>
    <w:pPr>
      <w:ind w:firstLine="420" w:firstLineChars="200"/>
    </w:pPr>
    <w:rPr>
      <w:rFonts w:ascii="Calibri" w:hAnsi="Calibri" w:eastAsia="宋体" w:cs="Times New Roman"/>
    </w:rPr>
  </w:style>
  <w:style w:type="paragraph" w:customStyle="1" w:styleId="11">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2">
    <w:name w:val="页眉 字符"/>
    <w:basedOn w:val="9"/>
    <w:link w:val="6"/>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3851</Words>
  <Characters>3865</Characters>
  <Lines>29</Lines>
  <Paragraphs>8</Paragraphs>
  <TotalTime>0</TotalTime>
  <ScaleCrop>false</ScaleCrop>
  <LinksUpToDate>false</LinksUpToDate>
  <CharactersWithSpaces>3998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2025-09-06T01:01:00Z</dcterms:created>
  <dc:creator>SDK</dc:creator>
  <cp:lastModifiedBy>cherry</cp:lastModifiedBy>
  <dcterms:modified xsi:type="dcterms:W3CDTF">2025-09-15T11:10:36Z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eyJoZGlkIjoiODY0NTE4NDM3NWFjNWQzOWUxYzZlZmJlMmRjNmZjMWYiLCJ1c2VySWQiOiIzMDU5MDMwNzgifQ==</vt:lpwstr>
  </property>
  <property fmtid="{D5CDD505-2E9C-101B-9397-08002B2CF9AE}" pid="4" name="ICV">
    <vt:lpwstr>2883D38B8B01496383CDFB4876494CC9_13</vt:lpwstr>
  </property>
</Properties>
</file>